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2610445B">
      <w:pPr>
        <w:pStyle w:val="ListParagraph"/>
        <w:tabs>
          <w:tab w:val="left" w:pos="7526"/>
          <w:tab w:val="right" w:pos="9071"/>
        </w:tabs>
        <w:spacing w:after="160"/>
        <w:ind w:left="1004"/>
        <w:rPr>
          <w:rFonts w:ascii="Arial" w:hAnsi="Arial" w:eastAsia="Calibri" w:cs="Arial"/>
          <w:sz w:val="22"/>
          <w:szCs w:val="22"/>
        </w:rPr>
      </w:pPr>
      <w:r>
        <w:rPr>
          <w:rFonts w:ascii="Arial" w:hAnsi="Arial" w:eastAsia="Calibri" w:cs="Arial"/>
          <w:sz w:val="22"/>
          <w:szCs w:val="22"/>
        </w:rPr>
        <w:tab/>
        <w:t xml:space="preserve"/>
      </w:r>
    </w:p>
    <w:p w14:paraId="5D691650">
      <w:pPr>
        <w:pStyle w:val="ListParagraph"/>
        <w:tabs>
          <w:tab w:val="left" w:pos="7526"/>
          <w:tab w:val="right" w:pos="9071"/>
        </w:tabs>
        <w:spacing w:after="160"/>
        <w:ind w:left="1004"/>
        <w:rPr>
          <w:rFonts w:ascii="Arial" w:hAnsi="Arial" w:eastAsia="Calibri" w:cs="Arial"/>
          <w:sz w:val="22"/>
          <w:szCs w:val="22"/>
        </w:rPr>
      </w:pPr>
      <w:r>
        <w:rPr>
          <w:rFonts w:ascii="Arial" w:hAnsi="Arial" w:eastAsia="Calibri" w:cs="Arial"/>
          <w:sz w:val="22"/>
          <w:szCs w:val="22"/>
        </w:rPr>
        <w:tab/>
        <w:t xml:space="preserve"/>
      </w:r>
      <w:r>
        <w:rPr>
          <w:rFonts w:ascii="Arial" w:hAnsi="Arial" w:eastAsia="Calibri" w:cs="Arial"/>
          <w:sz w:val="22"/>
          <w:szCs w:val="22"/>
        </w:rPr>
        <w:t xml:space="preserve">8</w:t>
      </w:r>
      <w:r>
        <w:rPr>
          <w:rFonts w:ascii="Arial" w:hAnsi="Arial" w:eastAsia="Calibri" w:cs="Arial"/>
          <w:sz w:val="22"/>
          <w:szCs w:val="22"/>
        </w:rPr>
        <w:t xml:space="preserve"> priedas </w:t>
      </w:r>
    </w:p>
    <w:p w14:paraId="5BE96E2A">
      <w:pPr>
        <w:pStyle w:val="ListParagraph"/>
        <w:spacing w:after="160"/>
        <w:ind w:left="1004"/>
        <w:jc w:val="right"/>
        <w:rPr>
          <w:rFonts w:ascii="Arial" w:hAnsi="Arial" w:eastAsia="Calibri" w:cs="Arial"/>
          <w:sz w:val="22"/>
          <w:szCs w:val="22"/>
        </w:rPr>
      </w:pPr>
      <w:r>
        <w:rPr>
          <w:rFonts w:ascii="Arial" w:hAnsi="Arial" w:eastAsia="Calibri" w:cs="Arial"/>
          <w:sz w:val="22"/>
          <w:szCs w:val="22"/>
        </w:rPr>
        <w:t xml:space="preserve">Transporto srautų tyrimų ir modeliavimo užduotis</w:t>
      </w:r>
    </w:p>
    <w:p w14:paraId="0077B390">
      <w:pPr>
        <w:spacing/>
        <w:ind w:firstLine="567"/>
        <w:rPr>
          <w:rFonts w:ascii="Arial" w:hAnsi="Arial" w:cs="Arial"/>
          <w:sz w:val="22"/>
          <w:szCs w:val="22"/>
        </w:rPr>
      </w:pPr>
    </w:p>
    <w:p w14:paraId="14136280">
      <w:pPr>
        <w:pStyle w:val="ListParagraph"/>
        <w:numPr>
          <w:ilvl w:val="0"/>
          <w:numId w:val="26"/>
        </w:numPr>
        <w:tabs>
          <w:tab w:val="left" w:pos="993"/>
        </w:tabs>
        <w:spacing/>
        <w:ind w:left="0" w:firstLine="567"/>
        <w:jc w:val="both"/>
        <w:rPr>
          <w:rFonts w:ascii="Arial" w:hAnsi="Arial" w:cs="Arial"/>
          <w:b/>
          <w:bCs/>
          <w:sz w:val="22"/>
          <w:szCs w:val="22"/>
        </w:rPr>
      </w:pPr>
      <w:r>
        <w:rPr>
          <w:rFonts w:ascii="Arial" w:hAnsi="Arial" w:cs="Arial"/>
          <w:b/>
          <w:bCs/>
          <w:sz w:val="22"/>
          <w:szCs w:val="22"/>
        </w:rPr>
        <w:t xml:space="preserve">Užduotis susideda iš dviejų etapų: </w:t>
      </w:r>
    </w:p>
    <w:p w14:paraId="73A81DF7">
      <w:pPr>
        <w:pStyle w:val="ListParagraph"/>
        <w:numPr>
          <w:ilvl w:val="1"/>
          <w:numId w:val="26"/>
        </w:numPr>
        <w:spacing/>
        <w:ind w:left="0" w:firstLine="360"/>
        <w:rPr>
          <w:rFonts w:ascii="Arial" w:hAnsi="Arial" w:cs="Arial"/>
          <w:sz w:val="22"/>
          <w:szCs w:val="22"/>
        </w:rPr>
      </w:pPr>
      <w:bookmarkStart w:id="2" w:name="_Hlk184223929"/>
      <w:r>
        <w:rPr>
          <w:rFonts w:ascii="Arial" w:hAnsi="Arial" w:cs="Arial"/>
          <w:b/>
          <w:bCs/>
          <w:sz w:val="22"/>
          <w:szCs w:val="22"/>
        </w:rPr>
        <w:t xml:space="preserve">Pirmas etapas.</w:t>
      </w:r>
      <w:r>
        <w:rPr>
          <w:rFonts w:ascii="Arial" w:hAnsi="Arial" w:cs="Arial"/>
          <w:sz w:val="22"/>
          <w:szCs w:val="22"/>
        </w:rPr>
        <w:t xml:space="preserve"> </w:t>
      </w:r>
      <w:r>
        <w:rPr>
          <w:rFonts w:ascii="Arial" w:hAnsi="Arial" w:cs="Arial"/>
          <w:sz w:val="22"/>
          <w:szCs w:val="22"/>
        </w:rPr>
        <w:t xml:space="preserve">Transporto srautų tyrimai ir susijusių teritorijų plėtros analizė. Makro lygiu įvertinama plėtra ir transporto srautų prognozė ilgalaikėje perspektyvoje. Tiriamo ir analizuojamo ruožo ribos apibrėžtos priedo schemoje nr.1.</w:t>
      </w:r>
    </w:p>
    <w:p w14:paraId="13927602">
      <w:pPr>
        <w:pStyle w:val="ListParagraph"/>
        <w:numPr>
          <w:ilvl w:val="1"/>
          <w:numId w:val="26"/>
        </w:numPr>
        <w:tabs>
          <w:tab w:val="left" w:pos="851"/>
        </w:tabs>
        <w:spacing/>
        <w:ind w:left="0" w:firstLine="360"/>
        <w:jc w:val="both"/>
        <w:rPr>
          <w:rFonts w:ascii="Arial" w:hAnsi="Arial" w:cs="Arial"/>
          <w:sz w:val="22"/>
          <w:szCs w:val="22"/>
        </w:rPr>
      </w:pPr>
      <w:bookmarkStart w:id="3" w:name="_Hlk184224181"/>
      <w:bookmarkEnd w:id="2"/>
      <w:r>
        <w:rPr>
          <w:rFonts w:ascii="Arial" w:hAnsi="Arial" w:cs="Arial"/>
          <w:b/>
          <w:bCs/>
          <w:sz w:val="22"/>
          <w:szCs w:val="22"/>
        </w:rPr>
        <w:t xml:space="preserve">Antras etapas.</w:t>
      </w:r>
      <w:r>
        <w:rPr>
          <w:rFonts w:ascii="Arial" w:hAnsi="Arial" w:cs="Arial"/>
          <w:sz w:val="22"/>
          <w:szCs w:val="22"/>
        </w:rPr>
        <w:t xml:space="preserve"> </w:t>
      </w:r>
      <w:r>
        <w:rPr>
          <w:rFonts w:ascii="Arial" w:hAnsi="Arial" w:cs="Arial"/>
          <w:sz w:val="22"/>
          <w:szCs w:val="22"/>
        </w:rPr>
        <w:t xml:space="preserve">Nagrinėjamo kelio ruožo transporto srautų mirko modelio parengimas ir alternatyvų vertinimas įtraukiant susisiekimo infrastruktūrą už planuojamo kelio ruožo ribos, kuri ilgalaikėje perspektyvoje gali daryti įtaką eismo laidumui. Modeliuojamo ruožo ribos apibrėžtos priedo schemoje nr.</w:t>
      </w:r>
      <w:r>
        <w:rPr>
          <w:rFonts w:ascii="Arial" w:hAnsi="Arial" w:cs="Arial"/>
          <w:sz w:val="22"/>
          <w:szCs w:val="22"/>
        </w:rPr>
        <w:t xml:space="preserve">1</w:t>
      </w:r>
      <w:r>
        <w:rPr>
          <w:rFonts w:ascii="Arial" w:hAnsi="Arial" w:cs="Arial"/>
          <w:sz w:val="22"/>
          <w:szCs w:val="22"/>
        </w:rPr>
        <w:t xml:space="preserve">.</w:t>
      </w:r>
    </w:p>
    <w:p w14:paraId="0585F651">
      <w:pPr>
        <w:tabs>
          <w:tab w:val="left" w:pos="851"/>
        </w:tabs>
        <w:spacing/>
        <w:rPr>
          <w:rFonts w:ascii="Arial" w:hAnsi="Arial" w:cs="Arial"/>
          <w:sz w:val="22"/>
          <w:szCs w:val="22"/>
          <w:highlight w:val="yellow"/>
        </w:rPr>
      </w:pPr>
    </w:p>
    <w:bookmarkEnd w:id="3"/>
    <w:p w14:paraId="4CA5764E">
      <w:pPr>
        <w:pStyle w:val="ListParagraph"/>
        <w:numPr>
          <w:ilvl w:val="0"/>
          <w:numId w:val="26"/>
        </w:numPr>
        <w:tabs>
          <w:tab w:val="left" w:pos="993"/>
        </w:tabs>
        <w:spacing/>
        <w:ind w:left="0" w:firstLine="567"/>
        <w:jc w:val="both"/>
        <w:rPr>
          <w:rFonts w:ascii="Arial" w:hAnsi="Arial" w:cs="Arial"/>
          <w:b/>
          <w:bCs/>
          <w:sz w:val="22"/>
          <w:szCs w:val="22"/>
        </w:rPr>
      </w:pPr>
      <w:r>
        <w:rPr>
          <w:rFonts w:ascii="Arial" w:hAnsi="Arial" w:cs="Arial"/>
          <w:b/>
          <w:bCs/>
          <w:sz w:val="22"/>
          <w:szCs w:val="22"/>
        </w:rPr>
        <w:t xml:space="preserve">Pirmas etapas. </w:t>
      </w:r>
      <w:r>
        <w:rPr>
          <w:rFonts w:ascii="Arial" w:hAnsi="Arial" w:cs="Arial"/>
          <w:b/>
          <w:bCs/>
          <w:sz w:val="22"/>
          <w:szCs w:val="22"/>
        </w:rPr>
        <w:t xml:space="preserve">Transporto srautų tyrimų atlikimas, teritorijų plėtros įvertinimas, transporto srautų prognozės ilgalaikėje perspektyvoje parengimas, ir alternatyvų įvertinimas</w:t>
      </w:r>
      <w:r>
        <w:rPr>
          <w:rFonts w:ascii="Arial" w:hAnsi="Arial" w:cs="Arial"/>
          <w:b/>
          <w:bCs/>
          <w:sz w:val="22"/>
          <w:szCs w:val="22"/>
        </w:rPr>
        <w:t xml:space="preserve">:</w:t>
      </w:r>
    </w:p>
    <w:p w14:paraId="7E15EC74">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tyrimai atliekami stengiantis išvengti netipinių eismo situacijų nagrinėjamoje teritorijoje (remonto darbai kelyje, uždaromos alternatyvios transporto jungtys, vyksta neeiliniai renginiai, eismo įvykiai ir pan.).</w:t>
      </w:r>
    </w:p>
    <w:p w14:paraId="15AC0B4C">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tyrimai atliekami įvertinus Poveikio kelių saugumui vertinimo aprašo reikalavimus (Lietuvos Respublikos susisiekimo ministro 2022 m. balandžio 28 d. įsakymu Nr. 3-222 „Dėl Poveikio kelių saugumui vertinimo reikalavimų ir tvarkos aprašo patvirtinimo“ (Lietuvos Respublikos susisiekimo ministro 2024 m. spalio 25 d. įsakymo Nr. 3-383 redakcija)).</w:t>
      </w:r>
    </w:p>
    <w:p w14:paraId="392AB2D7">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Atliekant transporto srautų tyrimus, įvertinama esama transporto eismo situacija, įžvelgiant problematiškiausias vietas ir susidarymo priežastis.</w:t>
      </w:r>
    </w:p>
    <w:p w14:paraId="361BA53E">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Įvertinami visi su šiuo kelio ruožu susiję plėtros ir aplinkinių teritorijų dokumentai, įvertinamas galimų naujų sankryžų, nuovažų ar traukos objektų poreikis.</w:t>
      </w:r>
    </w:p>
    <w:p w14:paraId="5D9F0BC5">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Įvertinami visi analizuojamoje ir aplinkinėse teritorijose už projekto ribų plėtros dokumentai, galintys daryti poveikį šio kelio ruožo susisiekimui.</w:t>
      </w:r>
    </w:p>
    <w:p w14:paraId="39937303">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Išnagrinėjami istoriniai eismo intensyvumo duomenys (ne mažiau kaip paskutinių 10 metų).</w:t>
      </w:r>
    </w:p>
    <w:p w14:paraId="68B009E3">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Nustatomas intensyviausias metų mėnesis ir savaitės diena (galima naudoti Paslaugų pirkėjos eismo intensyvumo duomenis).</w:t>
      </w:r>
    </w:p>
    <w:p w14:paraId="44783476">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Įvertinamas eismo intensyvumas visų metų sezonų laikotarpiu bei nustatomas jo skirtumas su VMPEI (vidutinis metinis paros eismo intensyvumas).</w:t>
      </w:r>
    </w:p>
    <w:p w14:paraId="52817B64">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Atliekama na</w:t>
      </w:r>
      <w:r>
        <w:rPr>
          <w:rFonts w:ascii="Arial" w:hAnsi="Arial" w:cs="Arial"/>
          <w:sz w:val="22"/>
          <w:szCs w:val="22"/>
        </w:rPr>
        <w:t xml:space="preserve">g</w:t>
      </w:r>
      <w:r>
        <w:rPr>
          <w:rFonts w:ascii="Arial" w:hAnsi="Arial" w:cs="Arial"/>
          <w:sz w:val="22"/>
          <w:szCs w:val="22"/>
        </w:rPr>
        <w:t xml:space="preserve">rinėjamos teritorijos plėtros planų analizė ir jų tiesioginio poveikio planuojamai infrastruktūrai vertinimas (įvertinant naujai planuojamų objektų papildomą transporto srautų kiekį ir susisiekimo infrastruktūrą).</w:t>
      </w:r>
    </w:p>
    <w:p w14:paraId="4C679414">
      <w:pPr>
        <w:pStyle w:val="ListParagraph"/>
        <w:numPr>
          <w:ilvl w:val="1"/>
          <w:numId w:val="23"/>
        </w:numPr>
        <w:tabs>
          <w:tab w:val="left" w:pos="1134"/>
        </w:tabs>
        <w:spacing/>
        <w:ind w:left="0" w:firstLine="567"/>
        <w:contextualSpacing w:val="false"/>
        <w:jc w:val="both"/>
        <w:rPr>
          <w:rFonts w:ascii="Arial" w:hAnsi="Arial" w:cs="Arial"/>
          <w:sz w:val="22"/>
          <w:szCs w:val="22"/>
        </w:rPr>
      </w:pPr>
      <w:r>
        <w:rPr>
          <w:rFonts w:ascii="Arial" w:hAnsi="Arial" w:cs="Arial"/>
          <w:sz w:val="22"/>
          <w:szCs w:val="22"/>
        </w:rPr>
        <w:t xml:space="preserve">Įvertinami šioje vietoje galiojantys bendrieji ir detalieji planai, specialiojo teritorijų planavimo dokumentai.</w:t>
      </w:r>
    </w:p>
    <w:p w14:paraId="3CA89A8F">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Vertinant transporto srautų tyrimų duomenis, galima naudotis iki to atliktomis eismo intensyvumo analizėmis ir studijomis kaip papildomais informacijos šaltiniais. Transporto srautų tyrimus būtina atlikti ir atnaujinti </w:t>
      </w:r>
      <w:r>
        <w:rPr>
          <w:rFonts w:ascii="Arial" w:hAnsi="Arial" w:cs="Arial"/>
          <w:sz w:val="22"/>
          <w:szCs w:val="22"/>
        </w:rPr>
        <w:t xml:space="preserve">einamais</w:t>
      </w:r>
      <w:r>
        <w:rPr>
          <w:rFonts w:ascii="Arial" w:hAnsi="Arial" w:cs="Arial"/>
          <w:sz w:val="22"/>
          <w:szCs w:val="22"/>
        </w:rPr>
        <w:t xml:space="preserve"> metais</w:t>
      </w:r>
      <w:r>
        <w:rPr>
          <w:rFonts w:ascii="Arial" w:hAnsi="Arial" w:cs="Arial"/>
          <w:sz w:val="22"/>
          <w:szCs w:val="22"/>
        </w:rPr>
        <w:t xml:space="preserve">.</w:t>
      </w:r>
    </w:p>
    <w:p w14:paraId="2B3E2AE1">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Nustatomi pagrindiniai dominuojantys kelionių maršrutai nagrinėjamame ruože ar sankryžose.</w:t>
      </w:r>
    </w:p>
    <w:p w14:paraId="0AFFC5CB">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Nustatomas tikslus automobilių pasiskirstymas sankryžose visomis galimomis kryptimis.</w:t>
      </w:r>
    </w:p>
    <w:p w14:paraId="1153BE3D">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Atliekant transporto srautų tyrimus nustatomas paros eismo intensyvumo pasiskirstymas kelio ruožuose, kad būtų galima įvertinti transporto srauto piko laikus ir jų trukmę, taip nustatant rytinio ir vakarinio piko laikus.</w:t>
      </w:r>
    </w:p>
    <w:p w14:paraId="54B5D432">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tyrimai sankryžose atliekami intensyviausiomis piko valandomis. Piko valandos transporto srautas turi būti skaičiuojamas besikeičiantis ne didesniu nei 15 min. intervalu.</w:t>
      </w:r>
    </w:p>
    <w:p w14:paraId="5E9A582E">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tyrimų metu nustatomas paros eismo intensyvumas kelio ruožuose.</w:t>
      </w:r>
    </w:p>
    <w:p w14:paraId="6235CAA1">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Atliekami natūriniai tyrimai, pateikiami gauti duomenys ir perskaičiavimas į VMPEI.</w:t>
      </w:r>
    </w:p>
    <w:p w14:paraId="44AB6E3C">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tyrimų metu ir prieš atlikdamas tyrimus Paslaugų teikėjas įsivertina planuojamas analizuoti alternatyvas ir tyrimus atlieka taip, kad užtektų duomenų ir informacijos joms įvertinti, palyginti, suprognozuoti perspektyvos apkrovimą ir sumodeliuoti įvairiais lygiais.</w:t>
      </w:r>
    </w:p>
    <w:p w14:paraId="2B2289B4">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Įvertinamas viešasis transportas nagrinėjamame tinkle;</w:t>
      </w:r>
    </w:p>
    <w:p w14:paraId="07CFE59F">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 karantino (dėl COVID-19) laikotarpio įtaka automobilių srautams. Sudarant transporto srauto augimo prognozes karantino laikotarpio metiniai srautų pokyčiai (nuo 2019 m. iki 2020 m.; nuo 2020 m. iki 2021 m.) turi būti vertinami taip, kad neiškraipytų vidutinio metinio pokyčio</w:t>
      </w:r>
      <w:r>
        <w:rPr>
          <w:rFonts w:ascii="Arial" w:hAnsi="Arial" w:cs="Arial"/>
          <w:sz w:val="22"/>
          <w:szCs w:val="22"/>
        </w:rPr>
        <w:t xml:space="preserve">.</w:t>
      </w:r>
    </w:p>
    <w:p w14:paraId="68270E20">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tyrimu metu nustatomas transporto modalinis pasiskirstymas nagrinėjamoje teritorijoje: </w:t>
      </w:r>
      <w:r>
        <w:rPr>
          <w:rFonts w:ascii="Arial" w:hAnsi="Arial" w:cs="Arial"/>
          <w:sz w:val="22"/>
          <w:szCs w:val="22"/>
        </w:rPr>
        <w:t xml:space="preserve">l</w:t>
      </w:r>
      <w:r>
        <w:rPr>
          <w:rFonts w:ascii="Arial" w:hAnsi="Arial" w:cs="Arial"/>
          <w:sz w:val="22"/>
          <w:szCs w:val="22"/>
        </w:rPr>
        <w:t xml:space="preserve">engvasis transportas; </w:t>
      </w:r>
      <w:r>
        <w:rPr>
          <w:rFonts w:ascii="Arial" w:hAnsi="Arial" w:cs="Arial"/>
          <w:sz w:val="22"/>
          <w:szCs w:val="22"/>
        </w:rPr>
        <w:t xml:space="preserve">s</w:t>
      </w:r>
      <w:r>
        <w:rPr>
          <w:rFonts w:ascii="Arial" w:hAnsi="Arial" w:cs="Arial"/>
          <w:sz w:val="22"/>
          <w:szCs w:val="22"/>
        </w:rPr>
        <w:t xml:space="preserve">unkusis transportas; </w:t>
      </w:r>
      <w:r>
        <w:rPr>
          <w:rFonts w:ascii="Arial" w:hAnsi="Arial" w:cs="Arial"/>
          <w:sz w:val="22"/>
          <w:szCs w:val="22"/>
        </w:rPr>
        <w:t xml:space="preserve">v</w:t>
      </w:r>
      <w:r>
        <w:rPr>
          <w:rFonts w:ascii="Arial" w:hAnsi="Arial" w:cs="Arial"/>
          <w:sz w:val="22"/>
          <w:szCs w:val="22"/>
        </w:rPr>
        <w:t xml:space="preserve">iešasis transportas; </w:t>
      </w:r>
      <w:r>
        <w:rPr>
          <w:rFonts w:ascii="Arial" w:hAnsi="Arial" w:cs="Arial"/>
          <w:sz w:val="22"/>
          <w:szCs w:val="22"/>
        </w:rPr>
        <w:t xml:space="preserve">p</w:t>
      </w:r>
      <w:r>
        <w:rPr>
          <w:rFonts w:ascii="Arial" w:hAnsi="Arial" w:cs="Arial"/>
          <w:sz w:val="22"/>
          <w:szCs w:val="22"/>
        </w:rPr>
        <w:t xml:space="preserve">ėstieji-dviračiai. Modalinis pasiskirstymas tyrimų metu įvertinamas tiriamose sankryžose. Siekiant pritaikyti planuojamiems sprendiniams rezultatai naudojami rengiant alternatyvas.</w:t>
      </w:r>
    </w:p>
    <w:p w14:paraId="6B96B15D">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 kita aktuali ir turinti įtakos modeliui bei rezultatams informacija.</w:t>
      </w:r>
    </w:p>
    <w:p w14:paraId="0F1F1CEC">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tyrimų duomenys ir rezultatai suderinami su Paslaugų pirkėja prieš atliekant transporto srautų modeliavimą.</w:t>
      </w:r>
    </w:p>
    <w:p w14:paraId="37A53F02">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 transporto srautų prognozė ateityje (</w:t>
      </w:r>
      <w:r>
        <w:rPr>
          <w:rFonts w:ascii="Arial" w:hAnsi="Arial" w:cs="Arial"/>
          <w:sz w:val="22"/>
          <w:szCs w:val="22"/>
        </w:rPr>
        <w:t xml:space="preserve">2</w:t>
      </w:r>
      <w:r>
        <w:rPr>
          <w:rFonts w:ascii="Arial" w:hAnsi="Arial" w:cs="Arial"/>
          <w:sz w:val="22"/>
          <w:szCs w:val="22"/>
        </w:rPr>
        <w:t xml:space="preserve">0 metų laikotarpiui)</w:t>
      </w:r>
      <w:r>
        <w:rPr>
          <w:rFonts w:ascii="Arial" w:hAnsi="Arial" w:cs="Arial"/>
          <w:sz w:val="22"/>
          <w:szCs w:val="22"/>
        </w:rPr>
        <w:t xml:space="preserve"> visame ruože (schema Nr. 1)</w:t>
      </w:r>
      <w:r>
        <w:rPr>
          <w:rFonts w:ascii="Arial" w:hAnsi="Arial" w:cs="Arial"/>
          <w:sz w:val="22"/>
          <w:szCs w:val="22"/>
        </w:rPr>
        <w:t xml:space="preserve">.</w:t>
      </w:r>
    </w:p>
    <w:p w14:paraId="596F0F2F">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Sudaromos esamos būklės ir </w:t>
      </w:r>
      <w:r>
        <w:rPr>
          <w:rFonts w:ascii="Arial" w:hAnsi="Arial" w:cs="Arial"/>
          <w:sz w:val="22"/>
          <w:szCs w:val="22"/>
        </w:rPr>
        <w:t xml:space="preserve">20 </w:t>
      </w:r>
      <w:r>
        <w:rPr>
          <w:rFonts w:ascii="Arial" w:hAnsi="Arial" w:cs="Arial"/>
          <w:sz w:val="22"/>
          <w:szCs w:val="22"/>
        </w:rPr>
        <w:t xml:space="preserve">metų prognozės transporto srautų ryšių matricos paros piko laikui bendram transporto kiekiui ir sunkiojo transporto kiekiui</w:t>
      </w:r>
      <w:r>
        <w:rPr>
          <w:rFonts w:ascii="Arial" w:hAnsi="Arial" w:cs="Arial"/>
          <w:sz w:val="22"/>
          <w:szCs w:val="22"/>
        </w:rPr>
        <w:t xml:space="preserve"> modeliuojamoje atkarpoje (schema Nr. </w:t>
      </w:r>
      <w:r>
        <w:rPr>
          <w:rFonts w:ascii="Arial" w:hAnsi="Arial" w:cs="Arial"/>
          <w:sz w:val="22"/>
          <w:szCs w:val="22"/>
        </w:rPr>
        <w:t xml:space="preserve">1</w:t>
      </w:r>
      <w:r>
        <w:rPr>
          <w:rFonts w:ascii="Arial" w:hAnsi="Arial" w:cs="Arial"/>
          <w:sz w:val="22"/>
          <w:szCs w:val="22"/>
        </w:rPr>
        <w:t xml:space="preserve">).</w:t>
      </w:r>
    </w:p>
    <w:p w14:paraId="14A667A7">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ryšių matrica kuriama modeliuojamam kelių tinklui susiejant visus sankryžų ryšius</w:t>
      </w:r>
      <w:r>
        <w:rPr>
          <w:rFonts w:ascii="Arial" w:hAnsi="Arial" w:cs="Arial"/>
          <w:sz w:val="22"/>
          <w:szCs w:val="22"/>
        </w:rPr>
        <w:t xml:space="preserve"> (schema Nr. </w:t>
      </w:r>
      <w:r>
        <w:rPr>
          <w:rFonts w:ascii="Arial" w:hAnsi="Arial" w:cs="Arial"/>
          <w:sz w:val="22"/>
          <w:szCs w:val="22"/>
        </w:rPr>
        <w:t xml:space="preserve">1</w:t>
      </w:r>
      <w:r>
        <w:rPr>
          <w:rFonts w:ascii="Arial" w:hAnsi="Arial" w:cs="Arial"/>
          <w:sz w:val="22"/>
          <w:szCs w:val="22"/>
        </w:rPr>
        <w:t xml:space="preserve">)</w:t>
      </w:r>
      <w:r>
        <w:rPr>
          <w:rFonts w:ascii="Arial" w:hAnsi="Arial" w:cs="Arial"/>
          <w:sz w:val="22"/>
          <w:szCs w:val="22"/>
        </w:rPr>
        <w:t xml:space="preserve">.</w:t>
      </w:r>
    </w:p>
    <w:p w14:paraId="408DD16E">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ryšių matricų zonų kiekis tiksliai atitinka planuojamo mikro modelio apimtis ir tiesiogiai naudojamos mikro modeliui užkrauti.</w:t>
      </w:r>
    </w:p>
    <w:p w14:paraId="34C4F9B4">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Sudaromos esamos būklės ir 20 metų prognozės transporto srautų kartogramos visam ruožui. Parengiamos schemos bendram transporto kiekiui ir sunkiojo transporto kiekiui kelio ruožuose ir tiriamose sankryžose. Detalizuojamas transporto srautų pasiskirstymas sankryžų manevruose.</w:t>
      </w:r>
    </w:p>
    <w:p w14:paraId="3BB1E660">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Prognozės prielaidos, ryšių matricos ir kartogramos suderinami su Paslaugų pirkėja prieš atliekant Antro etapo mikro modeliavimą.</w:t>
      </w:r>
    </w:p>
    <w:p w14:paraId="4FA43250">
      <w:pPr>
        <w:pStyle w:val="ListParagraph"/>
        <w:numPr>
          <w:ilvl w:val="0"/>
          <w:numId w:val="26"/>
        </w:numPr>
        <w:tabs>
          <w:tab w:val="left" w:pos="993"/>
        </w:tabs>
        <w:spacing/>
        <w:ind w:left="0" w:firstLine="567"/>
        <w:jc w:val="both"/>
        <w:rPr>
          <w:rFonts w:ascii="Arial" w:hAnsi="Arial" w:cs="Arial"/>
          <w:b/>
          <w:bCs/>
          <w:sz w:val="22"/>
          <w:szCs w:val="22"/>
        </w:rPr>
      </w:pPr>
      <w:r>
        <w:rPr>
          <w:rFonts w:ascii="Arial" w:hAnsi="Arial" w:cs="Arial"/>
          <w:b/>
          <w:bCs/>
          <w:sz w:val="22"/>
          <w:szCs w:val="22"/>
        </w:rPr>
        <w:t xml:space="preserve">Antras etapas. Nagrinėjamo kelio ruožo transporto srautų mikro modelio parengimas ir pasirinktų alternatyvų (atrinktų pagal gautus pirmo etapo rezultatus) įvertinimas</w:t>
      </w:r>
      <w:r>
        <w:rPr>
          <w:rFonts w:ascii="Arial" w:hAnsi="Arial" w:cs="Arial"/>
          <w:b/>
          <w:bCs/>
          <w:sz w:val="22"/>
          <w:szCs w:val="22"/>
        </w:rPr>
        <w:t xml:space="preserve">. </w:t>
      </w:r>
    </w:p>
    <w:p w14:paraId="692B13DB">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modeliavimas atliekamas pasitelkiant oficialią licencijuotą programinę įrangą.</w:t>
      </w:r>
    </w:p>
    <w:p w14:paraId="34A5AED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modeliavimas atliekamas kelio ruožuose ir sankryžose, suderintuose su Paslaugų pirkėja.</w:t>
      </w:r>
    </w:p>
    <w:p w14:paraId="53327395">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modeliavimas atliekamas pagal suderintas sprendinių alternatyvas.</w:t>
      </w:r>
    </w:p>
    <w:p w14:paraId="5188FB69">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modeliavimo programinė įranga skaičiavimus atlieka naudojant dinaminio eismo modeliavimo metodiką, atlieka dinamini eismo priskyrimą. Naudojami dinaminio eismo skaičiavimo algoritmai.</w:t>
      </w:r>
    </w:p>
    <w:p w14:paraId="0F21D4A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modelis atliekamas paros piko laikui (simuliacijos laikas įvertinamas pagal tyrimų atlikimo duomenis ir modelio dydį, įvertinant visus transporto srautus tinkle).</w:t>
      </w:r>
    </w:p>
    <w:p w14:paraId="1FE78E3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įvertinamas dinaminis automobilių eismas, </w:t>
      </w:r>
      <w:r>
        <w:rPr>
          <w:rFonts w:ascii="Arial" w:hAnsi="Arial" w:cs="Arial"/>
          <w:sz w:val="22"/>
          <w:szCs w:val="22"/>
        </w:rPr>
        <w:t xml:space="preserve">vertinamas jų persirikiavimas, eismo juostos pasirinkimas, lenkimo manevras, greitėjimas, lėtėjimas ir pan.</w:t>
      </w:r>
    </w:p>
    <w:p w14:paraId="1146B5E3">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yra įvertinama visa transporto infrastruktūra, įtakojanti eismo sąlygas transporto srautui (eismo juostų ilgis, skaičius ir jų plotis, viešojo transporto sustojimo stotelės ir jų maršrutai, šviesoforu reguliuojamų sankryžų darbo ciklas, persirikiuojantys automobiliai tinkle, transporto dalyvių elgsena ir kita infrastruktūra, kuri tiesiogiai įtakoja transporto srauto judėjimą).</w:t>
      </w:r>
    </w:p>
    <w:p w14:paraId="7702154E">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Kelių/gatvių atkarpos ir sankryžos turi būti įtrauktos į mikro modelio apimtį</w:t>
      </w:r>
      <w:r>
        <w:rPr>
          <w:rFonts w:ascii="Arial" w:hAnsi="Arial" w:cs="Arial"/>
          <w:sz w:val="22"/>
          <w:szCs w:val="22"/>
        </w:rPr>
        <w:t xml:space="preserve">,</w:t>
      </w:r>
      <w:r>
        <w:rPr>
          <w:rFonts w:ascii="Arial" w:hAnsi="Arial" w:cs="Arial"/>
          <w:sz w:val="22"/>
          <w:szCs w:val="22"/>
        </w:rPr>
        <w:t xml:space="preserve"> jeigu sprendinių parinkimo etapuose matosi, kad tos problemos ar jų efektas daro įtaką planuojamų sprendinių eismo saugumui ar laidumui. Esamos eismo problemos įvertinamos pirmame etape.</w:t>
      </w:r>
    </w:p>
    <w:p w14:paraId="60BC6EE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įvertinama pėsčiųjų ir dviratininkų infrastruktūra.</w:t>
      </w:r>
    </w:p>
    <w:p w14:paraId="37F7588E">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įvertinamas viešojo transporto eismas.</w:t>
      </w:r>
    </w:p>
    <w:p w14:paraId="270D01C0">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w:t>
      </w:r>
      <w:r>
        <w:rPr>
          <w:rFonts w:ascii="Arial" w:hAnsi="Arial" w:cs="Arial"/>
          <w:sz w:val="22"/>
          <w:szCs w:val="22"/>
        </w:rPr>
        <w:t xml:space="preserve">k</w:t>
      </w:r>
      <w:r>
        <w:rPr>
          <w:rFonts w:ascii="Arial" w:hAnsi="Arial" w:cs="Arial"/>
          <w:sz w:val="22"/>
          <w:szCs w:val="22"/>
        </w:rPr>
        <w:t xml:space="preserve">ro modelyje įvertinama visų eismo dalyvių prognozė </w:t>
      </w:r>
      <w:r>
        <w:rPr>
          <w:rFonts w:ascii="Arial" w:hAnsi="Arial" w:cs="Arial"/>
          <w:sz w:val="22"/>
          <w:szCs w:val="22"/>
        </w:rPr>
        <w:t xml:space="preserve">20 metų </w:t>
      </w:r>
      <w:r>
        <w:rPr>
          <w:rFonts w:ascii="Arial" w:hAnsi="Arial" w:cs="Arial"/>
          <w:sz w:val="22"/>
          <w:szCs w:val="22"/>
        </w:rPr>
        <w:t xml:space="preserve">laikotarpiui.</w:t>
      </w:r>
    </w:p>
    <w:p w14:paraId="3908E523">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įvertinamos </w:t>
      </w:r>
      <w:r>
        <w:rPr>
          <w:rFonts w:ascii="Arial" w:hAnsi="Arial" w:cs="Arial"/>
          <w:sz w:val="22"/>
          <w:szCs w:val="22"/>
        </w:rPr>
        <w:t xml:space="preserve">3</w:t>
      </w:r>
      <w:r>
        <w:rPr>
          <w:rFonts w:ascii="Arial" w:hAnsi="Arial" w:cs="Arial"/>
          <w:sz w:val="22"/>
          <w:szCs w:val="22"/>
        </w:rPr>
        <w:t xml:space="preserve"> alternatyvos (viena alternatyva susideda </w:t>
      </w:r>
      <w:r>
        <w:rPr>
          <w:rFonts w:ascii="Arial" w:hAnsi="Arial" w:cs="Arial"/>
          <w:sz w:val="22"/>
          <w:szCs w:val="22"/>
        </w:rPr>
        <w:t xml:space="preserve">visų </w:t>
      </w:r>
      <w:r>
        <w:rPr>
          <w:rFonts w:ascii="Arial" w:hAnsi="Arial" w:cs="Arial"/>
          <w:sz w:val="22"/>
          <w:szCs w:val="22"/>
        </w:rPr>
        <w:t xml:space="preserve">piko scenarijų simuliacijų</w:t>
      </w:r>
      <w:r>
        <w:rPr>
          <w:rFonts w:ascii="Arial" w:hAnsi="Arial" w:cs="Arial"/>
          <w:sz w:val="22"/>
          <w:szCs w:val="22"/>
        </w:rPr>
        <w:t xml:space="preserve">, jeigu nustatomi keli pikai paroje</w:t>
      </w:r>
      <w:r>
        <w:rPr>
          <w:rFonts w:ascii="Arial" w:hAnsi="Arial" w:cs="Arial"/>
          <w:sz w:val="22"/>
          <w:szCs w:val="22"/>
        </w:rPr>
        <w:t xml:space="preserve">).</w:t>
      </w:r>
      <w:r>
        <w:rPr>
          <w:rFonts w:ascii="Arial" w:hAnsi="Arial" w:cs="Arial"/>
          <w:sz w:val="22"/>
          <w:szCs w:val="22"/>
        </w:rPr>
        <w:t xml:space="preserve"> Viena iš alternatyvų – „Nulinė alternatyva“, kurioje vertinamas tik transporto augimas, nekeičiant esamo </w:t>
      </w:r>
      <w:r>
        <w:rPr>
          <w:rFonts w:ascii="Arial" w:hAnsi="Arial" w:cs="Arial"/>
          <w:sz w:val="22"/>
          <w:szCs w:val="22"/>
        </w:rPr>
        <w:t xml:space="preserve">eismo organizavimo.</w:t>
      </w:r>
    </w:p>
    <w:p w14:paraId="0E1B88B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Analizuojamos alternatyvos:</w:t>
      </w:r>
    </w:p>
    <w:p w14:paraId="408A6468">
      <w:pPr>
        <w:pStyle w:val="ListParagraph"/>
        <w:numPr>
          <w:ilvl w:val="2"/>
          <w:numId w:val="26"/>
        </w:numPr>
        <w:spacing/>
        <w:jc w:val="both"/>
        <w:rPr>
          <w:rFonts w:ascii="Arial" w:hAnsi="Arial" w:cs="Arial"/>
          <w:sz w:val="22"/>
          <w:szCs w:val="22"/>
        </w:rPr>
      </w:pPr>
      <w:r>
        <w:rPr>
          <w:rFonts w:ascii="Arial" w:hAnsi="Arial" w:cs="Arial"/>
          <w:sz w:val="22"/>
          <w:szCs w:val="22"/>
        </w:rPr>
        <w:t xml:space="preserve">žiedinė</w:t>
      </w:r>
      <w:r>
        <w:rPr>
          <w:rFonts w:ascii="Arial" w:hAnsi="Arial" w:cs="Arial"/>
          <w:sz w:val="22"/>
          <w:szCs w:val="22"/>
        </w:rPr>
        <w:t xml:space="preserve">s</w:t>
      </w:r>
      <w:r>
        <w:rPr>
          <w:rFonts w:ascii="Arial" w:hAnsi="Arial" w:cs="Arial"/>
          <w:sz w:val="22"/>
          <w:szCs w:val="22"/>
        </w:rPr>
        <w:t xml:space="preserve"> sankryž</w:t>
      </w:r>
      <w:r>
        <w:rPr>
          <w:rFonts w:ascii="Arial" w:hAnsi="Arial" w:cs="Arial"/>
          <w:sz w:val="22"/>
          <w:szCs w:val="22"/>
        </w:rPr>
        <w:t xml:space="preserve">os</w:t>
      </w:r>
      <w:r>
        <w:rPr>
          <w:rFonts w:ascii="Arial" w:hAnsi="Arial" w:cs="Arial"/>
          <w:sz w:val="22"/>
          <w:szCs w:val="22"/>
        </w:rPr>
        <w:t xml:space="preserve">;</w:t>
      </w:r>
    </w:p>
    <w:p w14:paraId="7601B7E5">
      <w:pPr>
        <w:pStyle w:val="ListParagraph"/>
        <w:numPr>
          <w:ilvl w:val="2"/>
          <w:numId w:val="26"/>
        </w:numPr>
        <w:spacing/>
        <w:jc w:val="both"/>
        <w:rPr>
          <w:rFonts w:ascii="Arial" w:hAnsi="Arial" w:cs="Arial"/>
          <w:sz w:val="22"/>
          <w:szCs w:val="22"/>
        </w:rPr>
      </w:pPr>
      <w:r>
        <w:rPr>
          <w:rFonts w:ascii="Arial" w:hAnsi="Arial" w:cs="Arial"/>
          <w:sz w:val="22"/>
          <w:szCs w:val="22"/>
        </w:rPr>
        <w:t xml:space="preserve">papildomos juostos kairiesiems manevrams</w:t>
      </w:r>
      <w:r>
        <w:rPr>
          <w:rFonts w:ascii="Arial" w:hAnsi="Arial" w:cs="Arial"/>
          <w:sz w:val="22"/>
          <w:szCs w:val="22"/>
        </w:rPr>
        <w:t xml:space="preserve">.</w:t>
      </w:r>
    </w:p>
    <w:p w14:paraId="4E3F9D1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Alternatyvos sprendiniuose turi būti įvertintas susisiekimo infrastruktūros patogumas pėstiesiems ir eismo saugumas sutvarkant netvarkingą manevravimą susijusį su stovėjimo vietomis sankryžos prieigose.</w:t>
      </w:r>
    </w:p>
    <w:p w14:paraId="254B4702">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Sudarytos alternatyvos prieš modeliavimą suderinamos su Paslaugų pirkėja.</w:t>
      </w:r>
    </w:p>
    <w:p w14:paraId="3A03F47B">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Įvertinta kita aktuali ir turinti įtakos mikro modeliui bei rezultatams informacija.</w:t>
      </w:r>
    </w:p>
    <w:p w14:paraId="44C6E315">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Visi analizuoti ir modeliuoti sankryžų ir jų eismo organizavimo scenarijai su rezultatais pateikiami ataskaitoje.</w:t>
      </w:r>
    </w:p>
    <w:p w14:paraId="1D0272A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Siūlomoms alternatyvoms kartu pateikiami ir rezultatai su prognozuojamais transporto srautais.</w:t>
      </w:r>
    </w:p>
    <w:p w14:paraId="01F511DE">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Pristačius alternatyvų gautus rezultatus Paslaugų pirkėjai, galimas pagal poreikį ir rezultatų vertinimą papildomos alternatyvos parengimas, kuris suderinamas kartu su Paslaugų pirkėja.</w:t>
      </w:r>
    </w:p>
    <w:p w14:paraId="31BB10AC">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Alternatyvų korekcijos galimos atsižvelgiant į tyrimų metu gautus duomenis, atliktą srautų analizę ir mikro modeliavimo rezultatus.</w:t>
      </w:r>
    </w:p>
    <w:p w14:paraId="707B519A">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Po atliktų tyrimų ir pirminių Antro etapo vertinimų gali būti papildomai parengiama viena alternatyva susidedanti iš analizuotų alternatyvų skirtingų sprendinių, taip pat įtraukiant kitus pakeitimus</w:t>
      </w:r>
      <w:r>
        <w:rPr>
          <w:rFonts w:ascii="Arial" w:hAnsi="Arial" w:cs="Arial"/>
          <w:sz w:val="22"/>
          <w:szCs w:val="22"/>
        </w:rPr>
        <w:t xml:space="preserve">,</w:t>
      </w:r>
      <w:r>
        <w:rPr>
          <w:rFonts w:ascii="Arial" w:hAnsi="Arial" w:cs="Arial"/>
          <w:sz w:val="22"/>
          <w:szCs w:val="22"/>
        </w:rPr>
        <w:t xml:space="preserve"> siekiant parengti geriausius sprendinius </w:t>
      </w:r>
      <w:r>
        <w:rPr>
          <w:rFonts w:ascii="Arial" w:hAnsi="Arial" w:cs="Arial"/>
          <w:sz w:val="22"/>
          <w:szCs w:val="22"/>
        </w:rPr>
        <w:t xml:space="preserve">susijusiems </w:t>
      </w:r>
      <w:r>
        <w:rPr>
          <w:rFonts w:ascii="Arial" w:hAnsi="Arial" w:cs="Arial"/>
          <w:sz w:val="22"/>
          <w:szCs w:val="22"/>
        </w:rPr>
        <w:t xml:space="preserve">keli</w:t>
      </w:r>
      <w:r>
        <w:rPr>
          <w:rFonts w:ascii="Arial" w:hAnsi="Arial" w:cs="Arial"/>
          <w:sz w:val="22"/>
          <w:szCs w:val="22"/>
        </w:rPr>
        <w:t xml:space="preserve">ų</w:t>
      </w:r>
      <w:r>
        <w:rPr>
          <w:rFonts w:ascii="Arial" w:hAnsi="Arial" w:cs="Arial"/>
          <w:sz w:val="22"/>
          <w:szCs w:val="22"/>
        </w:rPr>
        <w:t xml:space="preserve"> ruož</w:t>
      </w:r>
      <w:r>
        <w:rPr>
          <w:rFonts w:ascii="Arial" w:hAnsi="Arial" w:cs="Arial"/>
          <w:sz w:val="22"/>
          <w:szCs w:val="22"/>
        </w:rPr>
        <w:t xml:space="preserve">ams</w:t>
      </w:r>
      <w:r>
        <w:rPr>
          <w:rFonts w:ascii="Arial" w:hAnsi="Arial" w:cs="Arial"/>
          <w:sz w:val="22"/>
          <w:szCs w:val="22"/>
        </w:rPr>
        <w:t xml:space="preserve"> ir sankryžoms.</w:t>
      </w:r>
    </w:p>
    <w:p w14:paraId="45F67DDA">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Pateikiami mikro modelio darbiniai failai su pilna modelio scenarijų struktūra, </w:t>
      </w:r>
      <w:r>
        <w:rPr>
          <w:rFonts w:ascii="Arial" w:hAnsi="Arial" w:cs="Arial"/>
          <w:sz w:val="22"/>
          <w:szCs w:val="22"/>
        </w:rPr>
        <w:t xml:space="preserve">į</w:t>
      </w:r>
      <w:r>
        <w:rPr>
          <w:rFonts w:ascii="Arial" w:hAnsi="Arial" w:cs="Arial"/>
          <w:sz w:val="22"/>
          <w:szCs w:val="22"/>
        </w:rPr>
        <w:t xml:space="preserve">vesties duomenimis ir sukalibruotais elgsenos parametrais.</w:t>
      </w:r>
    </w:p>
    <w:p w14:paraId="1C46E63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Pateikiamas modelio patikimumo įvertinimas. </w:t>
      </w:r>
    </w:p>
    <w:p w14:paraId="66FBAE64">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modeliavimo rezultatai kiekvienam scenarijui pateikiami kartogramomis nagrinėjamo kelių tinklo atkarpoms (eismo intensyvumas, transporto srauto vidutinis greitis, transporto priemonių eilės ilgis, eismo kokybės lygis (LOS).</w:t>
      </w:r>
    </w:p>
    <w:p w14:paraId="605E124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Apibendrinti transporto srautų modeliavimo rezultatai pateikiami vertinant viso nagrinėjamo tinklo simuliacijos rezultatus, įvertinant eismo kokybės lygį (LOS), transporto srauto greitį, transporto srauto tankį, transporto srauto gaišties laiką, transporto srauto eismo intensyvumą, kelionės laiką, stovėjimo laiką, kelionės rida ir transporto priemonių eilės ilgį.</w:t>
      </w:r>
    </w:p>
    <w:p w14:paraId="13F154B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Pateikiamas visų alternatyvų rezultatų įvertinimas ir palyginimas.</w:t>
      </w:r>
    </w:p>
    <w:p w14:paraId="2EEB171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Pateikiami 20 metų perspektyvos scenarijų visų alternatyvų simuliacijų vaizdo įrašų fragmentai atliepiantys alternatyvų scenarijų kritinius momentus.</w:t>
      </w:r>
    </w:p>
    <w:p w14:paraId="530F3B1B">
      <w:pPr>
        <w:spacing/>
        <w:rPr>
          <w:rFonts w:ascii="Arial" w:hAnsi="Arial" w:cs="Arial"/>
          <w:sz w:val="22"/>
          <w:szCs w:val="22"/>
          <w:highlight w:val="yellow"/>
        </w:rPr>
      </w:pPr>
    </w:p>
    <w:p w14:paraId="2C4AC4AC">
      <w:pPr>
        <w:pStyle w:val="ListParagraph"/>
        <w:numPr>
          <w:ilvl w:val="0"/>
          <w:numId w:val="26"/>
        </w:numPr>
        <w:tabs>
          <w:tab w:val="left" w:pos="993"/>
        </w:tabs>
        <w:spacing/>
        <w:ind w:left="0" w:firstLine="567"/>
        <w:jc w:val="both"/>
        <w:rPr>
          <w:rFonts w:ascii="Arial" w:hAnsi="Arial" w:cs="Arial"/>
          <w:b/>
          <w:sz w:val="22"/>
          <w:szCs w:val="22"/>
        </w:rPr>
      </w:pPr>
      <w:bookmarkStart w:id="4" w:name="_Hlk184300276"/>
      <w:r>
        <w:rPr>
          <w:rFonts w:ascii="Arial" w:hAnsi="Arial" w:cs="Arial"/>
          <w:b/>
          <w:sz w:val="22"/>
          <w:szCs w:val="22"/>
        </w:rPr>
        <w:t xml:space="preserve">Rezultatų pateikimas:</w:t>
      </w:r>
    </w:p>
    <w:p w14:paraId="4B67C11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Galimybė (esant papildomam paklausimui (dėl dangų nustatymo, išskirti krovininį ir lengvąjį transportą visame ruože) pateikti rezultatus ir analizę išskiriant transporto rūšis.</w:t>
      </w:r>
    </w:p>
    <w:p w14:paraId="6666870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Tyrimų rezultatų duomenys turi būti susisteminti ir pateikti GIS forma (SHAPE byla (SHP) ir Microsoft Excel programiniam paketui. Duomenis pateikti išskiriant transporto priemonių struktūrą, manevrus sankryžose, atskirti kryptis. Skerspjūvių ir sankryžų rezultatus atvaizduoti principinėmis schemomis.</w:t>
      </w:r>
    </w:p>
    <w:p w14:paraId="06583B25">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Gaunami duomenys sugrupuojami ir pateikiami visų matavimų laikų rezultatai bei jų perskaičiavimo į vidutinį metinį paros eismo intensyvumą (VMPEI) rezultatai.</w:t>
      </w:r>
    </w:p>
    <w:p w14:paraId="01E1B51D">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Pateikiamas visų tyrimų rezultatų apibendrinimas ir galutinės išvados.</w:t>
      </w:r>
    </w:p>
    <w:p w14:paraId="4AEDD5A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Modeliuojamų scenarijų ryšių matricų ir transporto srautų kartogramų pateikimas.</w:t>
      </w:r>
      <w:bookmarkEnd w:id="4"/>
    </w:p>
    <w:p w14:paraId="48135B22">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Pateikiami mikro modelių projektai su išsaugotais simuliacijų rezultatais.</w:t>
      </w:r>
    </w:p>
    <w:p w14:paraId="3B2B8714">
      <w:pPr>
        <w:spacing/>
        <w:jc w:val="center"/>
        <w:rPr>
          <w:rFonts w:ascii="Arial" w:hAnsi="Arial" w:cs="Arial"/>
          <w:sz w:val="22"/>
          <w:szCs w:val="22"/>
        </w:rPr>
      </w:pPr>
      <w:r>
        <w:rPr>
          <w:rFonts w:ascii="Arial" w:hAnsi="Arial" w:cs="Arial"/>
          <w:noProof/>
          <w:sz w:val="22"/>
          <w:szCs w:val="22"/>
        </w:rPr>
        <w:drawing>
          <wp:inline>
            <wp:extent cx="5416026" cy="7667625"/>
            <wp:effectExtent xmlns:wp="http://schemas.openxmlformats.org/drawingml/2006/wordprocessingDrawing"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16026" cy="7667625"/>
                    </a:xfrm>
                    <a:prstGeom prst="rect">
                      <a:avLst/>
                    </a:prstGeom>
                  </pic:spPr>
                </pic:pic>
              </a:graphicData>
            </a:graphic>
          </wp:inline>
        </w:drawing>
      </w:r>
    </w:p>
    <w:p w14:paraId="17F2733D">
      <w:pPr>
        <w:spacing/>
        <w:ind w:firstLine="567"/>
        <w:jc w:val="center"/>
        <w:rPr>
          <w:rFonts w:ascii="Arial" w:hAnsi="Arial" w:cs="Arial"/>
          <w:b/>
          <w:bCs/>
          <w:sz w:val="22"/>
          <w:szCs w:val="22"/>
        </w:rPr>
      </w:pPr>
      <w:r>
        <w:rPr>
          <w:rFonts w:ascii="Arial" w:hAnsi="Arial" w:cs="Arial"/>
          <w:b/>
          <w:bCs/>
          <w:sz w:val="22"/>
          <w:szCs w:val="22"/>
        </w:rPr>
        <w:t xml:space="preserve">1 s</w:t>
      </w:r>
      <w:r>
        <w:rPr>
          <w:rFonts w:ascii="Arial" w:hAnsi="Arial" w:cs="Arial"/>
          <w:b/>
          <w:bCs/>
          <w:sz w:val="22"/>
          <w:szCs w:val="22"/>
        </w:rPr>
        <w:t xml:space="preserve">chema. </w:t>
      </w:r>
      <w:r>
        <w:rPr>
          <w:rFonts w:ascii="Arial" w:hAnsi="Arial" w:cs="Arial"/>
          <w:b/>
          <w:bCs/>
          <w:sz w:val="22"/>
          <w:szCs w:val="22"/>
        </w:rPr>
        <w:tab/>
        <w:t xml:space="preserve"/>
      </w:r>
      <w:r>
        <w:rPr>
          <w:rFonts w:ascii="Arial" w:hAnsi="Arial" w:cs="Arial"/>
          <w:b/>
          <w:bCs/>
          <w:sz w:val="22"/>
          <w:szCs w:val="22"/>
        </w:rPr>
        <w:t xml:space="preserve">Krašto kelio Nr. 108 Vievis–Maišiagala–Nemenčinė ruožo nuo 36,80 iki 43,79 km rekonstravim</w:t>
      </w:r>
      <w:r>
        <w:rPr>
          <w:rFonts w:ascii="Arial" w:hAnsi="Arial" w:cs="Arial"/>
          <w:b/>
          <w:bCs/>
          <w:sz w:val="22"/>
          <w:szCs w:val="22"/>
        </w:rPr>
        <w:t xml:space="preserve">o</w:t>
      </w:r>
      <w:r>
        <w:rPr>
          <w:rFonts w:ascii="Arial" w:hAnsi="Arial" w:cs="Arial"/>
          <w:b/>
          <w:bCs/>
          <w:sz w:val="22"/>
          <w:szCs w:val="22"/>
        </w:rPr>
        <w:t xml:space="preserve"> </w:t>
      </w:r>
      <w:r>
        <w:rPr>
          <w:rFonts w:ascii="Arial" w:hAnsi="Arial" w:cs="Arial"/>
          <w:b/>
          <w:bCs/>
          <w:sz w:val="22"/>
          <w:szCs w:val="22"/>
        </w:rPr>
        <w:t xml:space="preserve">tyrimų</w:t>
      </w:r>
      <w:r>
        <w:rPr>
          <w:rFonts w:ascii="Arial" w:hAnsi="Arial" w:cs="Arial"/>
          <w:b/>
          <w:bCs/>
          <w:sz w:val="22"/>
          <w:szCs w:val="22"/>
        </w:rPr>
        <w:t xml:space="preserve">,</w:t>
      </w:r>
      <w:r>
        <w:rPr>
          <w:rFonts w:ascii="Arial" w:hAnsi="Arial" w:cs="Arial"/>
          <w:b/>
          <w:bCs/>
          <w:sz w:val="22"/>
          <w:szCs w:val="22"/>
        </w:rPr>
        <w:t xml:space="preserve"> analizės </w:t>
      </w:r>
      <w:r>
        <w:rPr>
          <w:rFonts w:ascii="Arial" w:hAnsi="Arial" w:cs="Arial"/>
          <w:b/>
          <w:bCs/>
          <w:sz w:val="22"/>
          <w:szCs w:val="22"/>
        </w:rPr>
        <w:t xml:space="preserve">ir modeliavimo </w:t>
      </w:r>
      <w:r>
        <w:rPr>
          <w:rFonts w:ascii="Arial" w:hAnsi="Arial" w:cs="Arial"/>
          <w:b/>
          <w:bCs/>
          <w:sz w:val="22"/>
          <w:szCs w:val="22"/>
        </w:rPr>
        <w:t xml:space="preserve">ribos*</w:t>
      </w:r>
    </w:p>
    <w:p w14:paraId="2FF78184">
      <w:pPr>
        <w:spacing/>
        <w:ind w:firstLine="567"/>
        <w:jc w:val="center"/>
        <w:rPr>
          <w:rFonts w:ascii="Arial" w:hAnsi="Arial" w:cs="Arial"/>
          <w:b/>
          <w:bCs/>
          <w:sz w:val="22"/>
          <w:szCs w:val="22"/>
        </w:rPr>
      </w:pPr>
      <w:r>
        <w:rPr>
          <w:rFonts w:ascii="Arial" w:hAnsi="Arial" w:cs="Arial"/>
          <w:b/>
          <w:bCs/>
          <w:sz w:val="22"/>
          <w:szCs w:val="22"/>
        </w:rPr>
        <w:t xml:space="preserve">(sankryžos su krašto keliu nr . 172)</w:t>
      </w:r>
    </w:p>
    <w:p w14:paraId="092D978C">
      <w:pPr>
        <w:spacing/>
        <w:ind w:firstLine="567"/>
        <w:rPr>
          <w:rFonts w:ascii="Arial" w:hAnsi="Arial" w:cs="Arial"/>
          <w:sz w:val="22"/>
          <w:szCs w:val="22"/>
        </w:rPr>
      </w:pPr>
    </w:p>
    <w:p w14:paraId="5AEE8854">
      <w:pPr>
        <w:spacing/>
        <w:ind w:firstLine="567"/>
        <w:rPr>
          <w:rFonts w:ascii="Arial" w:hAnsi="Arial" w:cs="Arial"/>
          <w:sz w:val="22"/>
          <w:szCs w:val="22"/>
          <w:lang w:val="en-GB"/>
        </w:rPr>
      </w:pPr>
      <w:r>
        <w:rPr>
          <w:rFonts w:ascii="Arial" w:hAnsi="Arial" w:cs="Arial"/>
          <w:sz w:val="22"/>
          <w:szCs w:val="22"/>
        </w:rPr>
        <w:t xml:space="preserve">* Jeigu į ribas ir nagrinėjamą teritoriją patenka eismo poveikis, kurio susidarymo priežastys yra už šios teritorijos ribų, šį poveikį privaloma ištirti, įvertinti, aprašyti ir įtraukti į modelį.</w:t>
      </w:r>
    </w:p>
    <w:sectPr>
      <w:headerReference w:type="default" r:id="rId2"/>
      <w:type w:val="nextPage"/>
      <w:pgSz w:w="11906" w:h="16838"/>
      <w:pgMar w:top="0" w:right="1134" w:bottom="993" w:left="1701" w:header="567" w:footer="567" w:gutter="0"/>
      <w:pgBorders/>
      <w:pgNumType w:fmt="decimal"/>
      <w:cols w:num="1" w:equalWidth="1" w:space="1296"/>
      <w:formProt w:val="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Segoe UI">
    <w:charset w:val="186"/>
    <w:family w:val="swiss"/>
    <w:pitch w:val="variable"/>
    <w:sig w:usb0="E4002EFF" w:usb1="C000E47F" w:usb2="00000009" w:usb3="00000000" w:csb0="000001FF" w:csb1="00000000"/>
  </w:font>
  <w:font w:name="Arial">
    <w:charset w:val="186"/>
    <w:family w:val="swiss"/>
    <w:pitch w:val="variable"/>
    <w:sig w:usb0="E0002EFF" w:usb1="C000785B" w:usb2="00000009" w:usb3="00000000" w:csb0="000001FF" w:csb1="00000000"/>
  </w:font>
</w:fonts>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imes New Roman" w:hAnsi="Times New Roman" w:cs="Times New Roman"/>
      </w:rPr>
      <w:id w:val="859237589"/>
      <w:docPartObj>
        <w:docPartGallery w:val="Page Numbers (Top of Page)"/>
        <w:docPartUnique/>
      </w:docPartObj>
    </w:sdtPr>
    <w:sdtEndPr>
      <w:rPr>
        <w:rFonts w:ascii="Arial" w:hAnsi="Arial" w:cs="Arial"/>
      </w:rPr>
    </w:sdtEndPr>
    <w:sdtContent>
      <w:p w14:paraId="7E86B4EA">
        <w:pPr>
          <w:pStyle w:val="Header"/>
          <w:spacing/>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rPr>
          <w:t xml:space="preserve">4</w:t>
        </w:r>
        <w:r>
          <w:rPr>
            <w:rFonts w:ascii="Arial" w:hAnsi="Arial" w:cs="Arial"/>
          </w:rPr>
          <w:fldChar w:fldCharType="end"/>
        </w:r>
      </w:p>
    </w:sdtContent>
  </w:sdt>
  <w:p w14:paraId="08C9D77D">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B4BB9"/>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
    <w:nsid w:val="13DA4E66"/>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b w:val="0"/>
        <w:bCs w:val="0"/>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4B400DE"/>
    <w:lvl w:ilvl="0">
      <w:start w:val="1"/>
      <w:numFmt w:val="decimal"/>
      <w:suff w:val="tab"/>
      <w:lvlText w:val="%1."/>
      <w:pPr>
        <w:spacing/>
        <w:ind w:left="360" w:hanging="360"/>
      </w:pPr>
      <w:rPr>
        <w:rFonts w:hint="default"/>
      </w:rPr>
    </w:lvl>
    <w:lvl w:ilvl="1">
      <w:start w:val="1"/>
      <w:numFmt w:val="decimal"/>
      <w:suff w:val="tab"/>
      <w:lvlText w:val="6.%2."/>
      <w:pPr>
        <w:spacing/>
        <w:ind w:left="792" w:hanging="432"/>
      </w:pPr>
      <w:rPr>
        <w:rFonts w:hint="default"/>
        <w:strike w:val="0"/>
      </w:rPr>
    </w:lvl>
    <w:lvl w:ilvl="2">
      <w:start w:val="1"/>
      <w:numFmt w:val="decimal"/>
      <w:suff w:val="tab"/>
      <w:lvlText w:val="5.%2.%3."/>
      <w:pPr>
        <w:spacing/>
        <w:ind w:left="1224" w:hanging="504"/>
      </w:pPr>
      <w:rPr>
        <w:rFonts w:hint="default"/>
      </w:rPr>
    </w:lvl>
    <w:lvl w:ilvl="3">
      <w:start w:val="1"/>
      <w:numFmt w:val="decimal"/>
      <w:suff w:val="tab"/>
      <w:lvlText w:val="%11.6.%3.%4."/>
      <w:pPr>
        <w:spacing/>
        <w:ind w:left="1728" w:hanging="648"/>
      </w:pPr>
      <w:rPr>
        <w:rFonts w:hint="default"/>
        <w:sz w:val="24"/>
        <w:szCs w:val="24"/>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
    <w:nsid w:val="15E349B2"/>
    <w:lvl w:ilvl="0">
      <w:start w:val="1"/>
      <w:numFmt w:val="decimal"/>
      <w:suff w:val="tab"/>
      <w:lvlText w:val="%1."/>
      <w:pPr>
        <w:spacing/>
        <w:ind w:left="360" w:hanging="360"/>
      </w:pPr>
      <w:rPr>
        <w:rFonts w:hint="default"/>
      </w:rPr>
    </w:lvl>
    <w:lvl w:ilvl="1">
      <w:start w:val="1"/>
      <w:numFmt w:val="decimal"/>
      <w:suff w:val="tab"/>
      <w:lvlText w:val="7.%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4">
    <w:nsid w:val="16B42903"/>
    <w:styleLink w:val="Stilius1"/>
    <w:lvl w:ilvl="0">
      <w:start w:val="10"/>
      <w:numFmt w:val="decimal"/>
      <w:suff w:val="tab"/>
      <w:lvlText w:val="%1."/>
      <w:pPr>
        <w:spacing/>
        <w:ind w:left="1302" w:hanging="360"/>
      </w:pPr>
      <w:rPr>
        <w:rFonts w:hint="default"/>
      </w:rPr>
    </w:lvl>
    <w:lvl w:ilvl="1">
      <w:start w:val="1"/>
      <w:numFmt w:val="decimal"/>
      <w:isLgl/>
      <w:suff w:val="tab"/>
      <w:lvlText w:val="%1.%2."/>
      <w:pPr>
        <w:spacing/>
        <w:ind w:left="1557" w:hanging="615"/>
      </w:pPr>
      <w:rPr>
        <w:rFonts w:hint="default"/>
      </w:rPr>
    </w:lvl>
    <w:lvl w:ilvl="2">
      <w:start w:val="1"/>
      <w:numFmt w:val="decimal"/>
      <w:isLgl/>
      <w:suff w:val="tab"/>
      <w:lvlText w:val="%1.%2.%3."/>
      <w:pPr>
        <w:spacing/>
        <w:ind w:left="1662" w:hanging="720"/>
      </w:pPr>
      <w:rPr>
        <w:rFonts w:hint="default"/>
      </w:rPr>
    </w:lvl>
    <w:lvl w:ilvl="3">
      <w:start w:val="1"/>
      <w:numFmt w:val="decimal"/>
      <w:isLgl/>
      <w:suff w:val="tab"/>
      <w:lvlText w:val="%1.%2.%3.%4."/>
      <w:pPr>
        <w:spacing/>
        <w:ind w:left="1662" w:hanging="720"/>
      </w:pPr>
      <w:rPr>
        <w:rFonts w:hint="default"/>
      </w:rPr>
    </w:lvl>
    <w:lvl w:ilvl="4">
      <w:start w:val="1"/>
      <w:numFmt w:val="decimal"/>
      <w:isLgl/>
      <w:suff w:val="tab"/>
      <w:lvlText w:val="%1.%2.%3.%4.%5."/>
      <w:pPr>
        <w:spacing/>
        <w:ind w:left="2022" w:hanging="1080"/>
      </w:pPr>
      <w:rPr>
        <w:rFonts w:hint="default"/>
      </w:rPr>
    </w:lvl>
    <w:lvl w:ilvl="5">
      <w:start w:val="1"/>
      <w:numFmt w:val="decimal"/>
      <w:isLgl/>
      <w:suff w:val="tab"/>
      <w:lvlText w:val="%1.%2.%3.%4.%5.%6."/>
      <w:pPr>
        <w:spacing/>
        <w:ind w:left="2022" w:hanging="1080"/>
      </w:pPr>
      <w:rPr>
        <w:rFonts w:hint="default"/>
      </w:rPr>
    </w:lvl>
    <w:lvl w:ilvl="6">
      <w:start w:val="1"/>
      <w:numFmt w:val="decimal"/>
      <w:isLgl/>
      <w:suff w:val="tab"/>
      <w:lvlText w:val="%1.%2.%3.%4.%5.%6.%7."/>
      <w:pPr>
        <w:spacing/>
        <w:ind w:left="2382" w:hanging="1440"/>
      </w:pPr>
      <w:rPr>
        <w:rFonts w:hint="default"/>
      </w:rPr>
    </w:lvl>
    <w:lvl w:ilvl="7">
      <w:start w:val="1"/>
      <w:numFmt w:val="decimal"/>
      <w:isLgl/>
      <w:suff w:val="tab"/>
      <w:lvlText w:val="%1.%2.%3.%4.%5.%6.%7.%8."/>
      <w:pPr>
        <w:spacing/>
        <w:ind w:left="2382" w:hanging="1440"/>
      </w:pPr>
      <w:rPr>
        <w:rFonts w:hint="default"/>
      </w:rPr>
    </w:lvl>
    <w:lvl w:ilvl="8">
      <w:start w:val="1"/>
      <w:numFmt w:val="decimal"/>
      <w:isLgl/>
      <w:suff w:val="tab"/>
      <w:lvlText w:val="%1.%2.%3.%4.%5.%6.%7.%8.%9."/>
      <w:pPr>
        <w:spacing/>
        <w:ind w:left="2742" w:hanging="1800"/>
      </w:pPr>
      <w:rPr>
        <w:rFonts w:hint="default"/>
      </w:rPr>
    </w:lvl>
  </w:abstractNum>
  <w:abstractNum w:abstractNumId="5">
    <w:nsid w:val="16CB20B7"/>
    <w:lvl w:ilvl="0">
      <w:start w:val="10"/>
      <w:numFmt w:val="decimal"/>
      <w:suff w:val="tab"/>
      <w:lvlText w:val="%1."/>
      <w:pPr>
        <w:spacing/>
        <w:ind w:left="1302" w:hanging="360"/>
      </w:pPr>
      <w:rPr>
        <w:rFonts w:hint="default"/>
      </w:rPr>
    </w:lvl>
    <w:lvl w:ilvl="1">
      <w:start w:val="1"/>
      <w:numFmt w:val="decimal"/>
      <w:isLgl/>
      <w:suff w:val="tab"/>
      <w:lvlText w:val="%1.%2."/>
      <w:pPr>
        <w:spacing/>
        <w:ind w:left="1557" w:hanging="615"/>
      </w:pPr>
      <w:rPr>
        <w:rFonts w:hint="default"/>
      </w:rPr>
    </w:lvl>
    <w:lvl w:ilvl="2">
      <w:start w:val="1"/>
      <w:numFmt w:val="decimal"/>
      <w:isLgl/>
      <w:suff w:val="tab"/>
      <w:lvlText w:val="5.3.%3."/>
      <w:pPr>
        <w:spacing/>
        <w:ind w:left="1662" w:hanging="720"/>
      </w:pPr>
      <w:rPr>
        <w:rFonts w:hint="default"/>
      </w:rPr>
    </w:lvl>
    <w:lvl w:ilvl="3">
      <w:start w:val="1"/>
      <w:numFmt w:val="decimal"/>
      <w:isLgl/>
      <w:suff w:val="tab"/>
      <w:lvlText w:val="11.6.3.%4."/>
      <w:pPr>
        <w:spacing/>
        <w:ind w:left="1662" w:hanging="720"/>
      </w:pPr>
      <w:rPr>
        <w:rFonts w:hint="default"/>
        <w:sz w:val="24"/>
        <w:szCs w:val="24"/>
      </w:rPr>
    </w:lvl>
    <w:lvl w:ilvl="4">
      <w:start w:val="1"/>
      <w:numFmt w:val="decimal"/>
      <w:isLgl/>
      <w:suff w:val="tab"/>
      <w:lvlText w:val="%1.%2.%3.%4.%5."/>
      <w:pPr>
        <w:spacing/>
        <w:ind w:left="2022" w:hanging="1080"/>
      </w:pPr>
      <w:rPr>
        <w:rFonts w:hint="default"/>
      </w:rPr>
    </w:lvl>
    <w:lvl w:ilvl="5">
      <w:start w:val="1"/>
      <w:numFmt w:val="decimal"/>
      <w:isLgl/>
      <w:suff w:val="tab"/>
      <w:lvlText w:val="%1.%2.%3.%4.%5.%6."/>
      <w:pPr>
        <w:spacing/>
        <w:ind w:left="2022" w:hanging="1080"/>
      </w:pPr>
      <w:rPr>
        <w:rFonts w:hint="default"/>
      </w:rPr>
    </w:lvl>
    <w:lvl w:ilvl="6">
      <w:start w:val="1"/>
      <w:numFmt w:val="decimal"/>
      <w:isLgl/>
      <w:suff w:val="tab"/>
      <w:lvlText w:val="%1.%2.%3.%4.%5.%6.%7."/>
      <w:pPr>
        <w:spacing/>
        <w:ind w:left="2382" w:hanging="1440"/>
      </w:pPr>
      <w:rPr>
        <w:rFonts w:hint="default"/>
      </w:rPr>
    </w:lvl>
    <w:lvl w:ilvl="7">
      <w:start w:val="1"/>
      <w:numFmt w:val="decimal"/>
      <w:isLgl/>
      <w:suff w:val="tab"/>
      <w:lvlText w:val="%1.%2.%3.%4.%5.%6.%7.%8."/>
      <w:pPr>
        <w:spacing/>
        <w:ind w:left="2382" w:hanging="1440"/>
      </w:pPr>
      <w:rPr>
        <w:rFonts w:hint="default"/>
      </w:rPr>
    </w:lvl>
    <w:lvl w:ilvl="8">
      <w:start w:val="1"/>
      <w:numFmt w:val="decimal"/>
      <w:isLgl/>
      <w:suff w:val="tab"/>
      <w:lvlText w:val="%1.%2.%3.%4.%5.%6.%7.%8.%9."/>
      <w:pPr>
        <w:spacing/>
        <w:ind w:left="2742" w:hanging="1800"/>
      </w:pPr>
      <w:rPr>
        <w:rFonts w:hint="default"/>
      </w:rPr>
    </w:lvl>
  </w:abstractNum>
  <w:abstractNum w:abstractNumId="6">
    <w:nsid w:val="17BC45B9"/>
    <w:lvl w:ilvl="0">
      <w:start w:val="1"/>
      <w:numFmt w:val="decimal"/>
      <w:suff w:val="tab"/>
      <w:lvlText w:val="%1."/>
      <w:pPr>
        <w:spacing/>
        <w:ind w:left="360" w:hanging="360"/>
      </w:pPr>
      <w:rPr>
        <w:rFonts w:hint="default"/>
      </w:rPr>
    </w:lvl>
    <w:lvl w:ilvl="1">
      <w:start w:val="1"/>
      <w:numFmt w:val="none"/>
      <w:suff w:val="tab"/>
      <w:lvlText w:val="7.1."/>
      <w:pPr>
        <w:spacing/>
        <w:ind w:left="792" w:hanging="432"/>
      </w:pPr>
      <w:rPr>
        <w:rFonts w:hint="default"/>
        <w:strike w:val="0"/>
      </w:rPr>
    </w:lvl>
    <w:lvl w:ilvl="2">
      <w:start w:val="1"/>
      <w:numFmt w:val="decimal"/>
      <w:suff w:val="tab"/>
      <w:lvlText w:val="6.4.%3."/>
      <w:pPr>
        <w:spacing/>
        <w:ind w:left="1224" w:hanging="504"/>
      </w:pPr>
      <w:rPr>
        <w:rFonts w:hint="default"/>
      </w:rPr>
    </w:lvl>
    <w:lvl w:ilvl="3">
      <w:start w:val="1"/>
      <w:numFmt w:val="decimal"/>
      <w:suff w:val="tab"/>
      <w:lvlText w:val="%11.7.4.%4."/>
      <w:pPr>
        <w:spacing/>
        <w:ind w:left="1728" w:hanging="648"/>
      </w:pPr>
      <w:rPr>
        <w:rFonts w:hint="default"/>
        <w:sz w:val="24"/>
        <w:szCs w:val="24"/>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7">
    <w:nsid w:val="1A0155C9"/>
    <w:lvl w:ilvl="0">
      <w:start w:val="1"/>
      <w:numFmt w:val="decimal"/>
      <w:suff w:val="tab"/>
      <w:lvlText w:val="%1."/>
      <w:pPr>
        <w:spacing/>
        <w:ind w:left="927" w:hanging="360"/>
      </w:pPr>
      <w:rPr>
        <w:rFonts w:hint="default"/>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8">
    <w:nsid w:val="1BE71F66"/>
    <w:styleLink w:val="Stilius2"/>
    <w:lvl w:ilvl="0">
      <w:start w:val="1"/>
      <w:numFmt w:val="decimal"/>
      <w:suff w:val="tab"/>
      <w:lvlText w:val="%1."/>
      <w:pPr>
        <w:spacing/>
        <w:ind w:left="360" w:hanging="360"/>
      </w:pPr>
      <w:rPr>
        <w:rFonts w:hint="default"/>
      </w:rPr>
    </w:lvl>
    <w:lvl w:ilvl="1">
      <w:start w:val="1"/>
      <w:numFmt w:val="decimal"/>
      <w:suff w:val="tab"/>
      <w:lvlText w:val="6.%2."/>
      <w:pPr>
        <w:spacing/>
        <w:ind w:left="792" w:hanging="432"/>
      </w:pPr>
      <w:rPr>
        <w:rFonts w:hint="default"/>
        <w:strike w:val="0"/>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9">
    <w:nsid w:val="22500D9F"/>
    <w:lvl w:ilvl="0">
      <w:start w:val="4"/>
      <w:numFmt w:val="decimal"/>
      <w:suff w:val="tab"/>
      <w:lvlText w:val="%1."/>
      <w:pPr>
        <w:tabs>
          <w:tab w:val="num" w:pos="510"/>
        </w:tabs>
        <w:spacing/>
        <w:ind w:left="510" w:hanging="510"/>
      </w:pPr>
      <w:rPr>
        <w:rFonts w:hint="default"/>
        <w:b w:val="0"/>
        <w:bCs w:val="0"/>
      </w:rPr>
    </w:lvl>
    <w:lvl w:ilvl="1">
      <w:start w:val="1"/>
      <w:numFmt w:val="decimal"/>
      <w:suff w:val="tab"/>
      <w:lvlText w:val="51.%2."/>
      <w:pPr>
        <w:tabs>
          <w:tab w:val="num" w:pos="1077"/>
        </w:tabs>
        <w:spacing/>
        <w:ind w:left="1077" w:hanging="510"/>
      </w:pPr>
      <w:rPr>
        <w:rFonts w:hint="default"/>
        <w:b w:val="0"/>
        <w:bCs/>
      </w:rPr>
    </w:lvl>
    <w:lvl w:ilvl="2">
      <w:start w:val="1"/>
      <w:numFmt w:val="decimal"/>
      <w:suff w:val="tab"/>
      <w:lvlText w:val="49.31.%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0">
    <w:nsid w:val="2B592758"/>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6.3.22.%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1">
    <w:nsid w:val="2D8D30EB"/>
    <w:lvl w:ilvl="0">
      <w:start w:val="1"/>
      <w:numFmt w:val="decimal"/>
      <w:suff w:val="tab"/>
      <w:lvlText w:val="%1."/>
      <w:pPr>
        <w:spacing/>
        <w:ind w:left="360" w:hanging="360"/>
      </w:pPr>
      <w:rPr>
        <w:rFonts w:hint="default"/>
      </w:rPr>
    </w:lvl>
    <w:lvl w:ilvl="1">
      <w:start w:val="1"/>
      <w:numFmt w:val="decimal"/>
      <w:suff w:val="tab"/>
      <w:lvlText w:val="7.%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2">
    <w:nsid w:val="2EA64256"/>
    <w:lvl w:ilvl="0">
      <w:start w:val="3"/>
      <w:numFmt w:val="decimal"/>
      <w:suff w:val="tab"/>
      <w:lvlText w:val="%1."/>
      <w:pPr>
        <w:tabs>
          <w:tab w:val="num" w:pos="510"/>
        </w:tabs>
        <w:spacing/>
        <w:ind w:left="510" w:hanging="510"/>
      </w:pPr>
      <w:rPr>
        <w:rFonts w:hint="default"/>
        <w:b w:val="0"/>
        <w:bCs w:val="0"/>
      </w:rPr>
    </w:lvl>
    <w:lvl w:ilvl="1">
      <w:start w:val="1"/>
      <w:numFmt w:val="decimal"/>
      <w:suff w:val="tab"/>
      <w:lvlText w:val="24.%2."/>
      <w:pPr>
        <w:tabs>
          <w:tab w:val="num" w:pos="1077"/>
        </w:tabs>
        <w:spacing/>
        <w:ind w:left="1077" w:hanging="510"/>
      </w:pPr>
      <w:rPr>
        <w:rFonts w:hint="default"/>
        <w:b w:val="0"/>
        <w:bCs/>
      </w:rPr>
    </w:lvl>
    <w:lvl w:ilvl="2">
      <w:start w:val="1"/>
      <w:numFmt w:val="decimal"/>
      <w:suff w:val="tab"/>
      <w:lvlText w:val="%1.%2.%3."/>
      <w:pPr>
        <w:tabs>
          <w:tab w:val="num" w:pos="1428"/>
        </w:tabs>
        <w:spacing/>
        <w:ind w:left="1428"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3">
    <w:nsid w:val="304F7575"/>
    <w:lvl w:ilvl="0">
      <w:start w:val="1"/>
      <w:numFmt w:val="bullet"/>
      <w:suff w:val="tab"/>
      <w:lvlText w:val=""/>
      <w:pPr>
        <w:spacing/>
        <w:ind w:left="720" w:hanging="360"/>
      </w:pPr>
      <w:rPr>
        <w:rFonts w:ascii="Symbol" w:hAnsi="Symbol" w:hint="default"/>
      </w:rPr>
    </w:lvl>
    <w:lvl w:ilvl="1">
      <w:start w:val="3"/>
      <w:numFmt w:val="bullet"/>
      <w:suff w:val="tab"/>
      <w:lvlText w:val="–"/>
      <w:pPr>
        <w:spacing/>
        <w:ind w:left="1440" w:hanging="360"/>
      </w:pPr>
      <w:rPr>
        <w:rFonts w:ascii="Times New Roman" w:hAnsi="Times New Roman" w:eastAsia="SimSun" w:cs="Times New Roman"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4">
    <w:nsid w:val="30EC0640"/>
    <w:lvl w:ilvl="0">
      <w:start w:val="1"/>
      <w:numFmt w:val="decimal"/>
      <w:suff w:val="tab"/>
      <w:lvlText w:val="%1."/>
      <w:pPr>
        <w:spacing/>
        <w:ind w:left="1637" w:hanging="360"/>
      </w:pPr>
      <w:rPr>
        <w:rFonts w:cs="Times New Roman" w:hint="default"/>
        <w:b w:val="0"/>
        <w:bCs/>
        <w:i w:val="0"/>
        <w:iCs w:val="0"/>
        <w:strike w:val="0"/>
        <w:dstrike w:val="0"/>
        <w:color w:val="auto"/>
        <w:sz w:val="22"/>
        <w:szCs w:val="22"/>
        <w:u w:val="none"/>
        <w:effect w:val="none"/>
      </w:rPr>
    </w:lvl>
    <w:lvl w:ilvl="1">
      <w:start w:val="1"/>
      <w:numFmt w:val="decimal"/>
      <w:suff w:val="tab"/>
      <w:lvlText w:val="%1.%2."/>
      <w:pPr>
        <w:spacing/>
        <w:ind w:left="1850" w:hanging="432"/>
      </w:pPr>
      <w:rPr>
        <w:rFonts w:cs="Times New Roman" w:hint="default"/>
        <w:b w:val="0"/>
        <w:bCs/>
        <w:i w:val="0"/>
        <w:iCs w:val="0"/>
        <w:strike w:val="0"/>
        <w:color w:val="auto"/>
        <w:sz w:val="22"/>
        <w:szCs w:val="22"/>
      </w:rPr>
    </w:lvl>
    <w:lvl w:ilvl="2">
      <w:start w:val="1"/>
      <w:numFmt w:val="decimal"/>
      <w:suff w:val="tab"/>
      <w:lvlText w:val="%1.%2.%3."/>
      <w:pPr>
        <w:spacing/>
        <w:ind w:left="1224" w:hanging="504"/>
      </w:pPr>
      <w:rPr>
        <w:rFonts w:cs="Times New Roman" w:hint="default"/>
        <w:sz w:val="22"/>
        <w:szCs w:val="22"/>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15">
    <w:nsid w:val="31471C31"/>
    <w:lvl w:ilvl="0">
      <w:start w:val="1"/>
      <w:numFmt w:val="decimal"/>
      <w:suff w:val="tab"/>
      <w:lvlText w:val="%1."/>
      <w:pPr>
        <w:tabs>
          <w:tab w:val="num" w:pos="510"/>
        </w:tabs>
        <w:spacing/>
        <w:ind w:left="510" w:hanging="510"/>
      </w:pPr>
      <w:rPr>
        <w:rFonts w:hint="default"/>
        <w:b w:val="0"/>
        <w:bCs w:val="0"/>
      </w:rPr>
    </w:lvl>
    <w:lvl w:ilvl="1">
      <w:start w:val="1"/>
      <w:numFmt w:val="decimal"/>
      <w:suff w:val="tab"/>
      <w:lvlText w:val="5.%2."/>
      <w:pPr>
        <w:tabs>
          <w:tab w:val="num" w:pos="1077"/>
        </w:tabs>
        <w:spacing/>
        <w:ind w:left="1077" w:hanging="510"/>
      </w:pPr>
      <w:rPr>
        <w:rFonts w:hint="default"/>
        <w:b w:val="0"/>
        <w:bCs/>
      </w:rPr>
    </w:lvl>
    <w:lvl w:ilvl="2">
      <w:start w:val="1"/>
      <w:numFmt w:val="decimal"/>
      <w:suff w:val="tab"/>
      <w:lvlText w:val="%1.%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6">
    <w:nsid w:val="31B1066E"/>
    <w:lvl w:ilvl="0">
      <w:start w:val="4"/>
      <w:numFmt w:val="decimal"/>
      <w:suff w:val="tab"/>
      <w:lvlText w:val="%1."/>
      <w:pPr>
        <w:tabs>
          <w:tab w:val="num" w:pos="510"/>
        </w:tabs>
        <w:spacing/>
        <w:ind w:left="510" w:hanging="510"/>
      </w:pPr>
      <w:rPr>
        <w:rFonts w:hint="default"/>
        <w:b/>
        <w:bCs/>
      </w:rPr>
    </w:lvl>
    <w:lvl w:ilvl="1">
      <w:start w:val="1"/>
      <w:numFmt w:val="decimal"/>
      <w:suff w:val="tab"/>
      <w:lvlText w:val="9.%2."/>
      <w:pPr>
        <w:tabs>
          <w:tab w:val="num" w:pos="1077"/>
        </w:tabs>
        <w:spacing/>
        <w:ind w:left="1077" w:hanging="510"/>
      </w:pPr>
      <w:rPr>
        <w:rFonts w:hint="default"/>
        <w:b w:val="0"/>
        <w:bCs/>
        <w:strike w:val="0"/>
      </w:rPr>
    </w:lvl>
    <w:lvl w:ilvl="2">
      <w:start w:val="1"/>
      <w:numFmt w:val="decimal"/>
      <w:suff w:val="tab"/>
      <w:lvlText w:val="9.1.%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7">
    <w:nsid w:val="39551F96"/>
    <w:styleLink w:val="Stilius3"/>
    <w:lvl w:ilvl="0">
      <w:start w:val="2"/>
      <w:numFmt w:val="decimal"/>
      <w:suff w:val="tab"/>
      <w:lvlText w:val="%1."/>
      <w:pPr>
        <w:tabs>
          <w:tab w:val="num" w:pos="510"/>
        </w:tabs>
        <w:spacing/>
        <w:ind w:left="510" w:hanging="510"/>
      </w:pPr>
      <w:rPr>
        <w:rFonts w:hint="default"/>
        <w:b w:val="0"/>
        <w:bCs w:val="0"/>
      </w:rPr>
    </w:lvl>
    <w:lvl w:ilvl="1">
      <w:start w:val="1"/>
      <w:numFmt w:val="decimal"/>
      <w:suff w:val="tab"/>
      <w:lvlText w:val="%1.%2."/>
      <w:pPr>
        <w:tabs>
          <w:tab w:val="num" w:pos="3630"/>
        </w:tabs>
        <w:spacing/>
        <w:ind w:left="3630" w:hanging="510"/>
      </w:pPr>
      <w:rPr>
        <w:rFonts w:hint="default"/>
        <w:b w:val="0"/>
        <w:bCs/>
      </w:rPr>
    </w:lvl>
    <w:lvl w:ilvl="2">
      <w:start w:val="1"/>
      <w:numFmt w:val="decimal"/>
      <w:suff w:val="tab"/>
      <w:lvlText w:val="%1.%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8">
    <w:nsid w:val="39B6407F"/>
    <w:lvl w:ilvl="0">
      <w:start w:val="1"/>
      <w:numFmt w:val="decimal"/>
      <w:suff w:val="tab"/>
      <w:lvlText w:val="%1."/>
      <w:pPr>
        <w:spacing/>
        <w:ind w:left="360" w:hanging="360"/>
      </w:pPr>
      <w:rPr>
        <w:rFonts w:hint="default"/>
      </w:rPr>
    </w:lvl>
    <w:lvl w:ilvl="1">
      <w:start w:val="1"/>
      <w:numFmt w:val="decimal"/>
      <w:suff w:val="tab"/>
      <w:lvlText w:val="12.%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9">
    <w:nsid w:val="3D3B4149"/>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2.%24.%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0">
    <w:nsid w:val="3D5B7DE7"/>
    <w:lvl w:ilvl="0">
      <w:start w:val="2"/>
      <w:numFmt w:val="decimal"/>
      <w:suff w:val="tab"/>
      <w:lvlText w:val="%1."/>
      <w:pPr>
        <w:tabs>
          <w:tab w:val="num" w:pos="510"/>
        </w:tabs>
        <w:spacing/>
        <w:ind w:left="510" w:hanging="510"/>
      </w:pPr>
      <w:rPr>
        <w:rFonts w:hint="default"/>
        <w:b w:val="0"/>
        <w:bCs w:val="0"/>
      </w:rPr>
    </w:lvl>
    <w:lvl w:ilvl="1">
      <w:start w:val="1"/>
      <w:numFmt w:val="decimal"/>
      <w:suff w:val="tab"/>
      <w:lvlText w:val="9.%2."/>
      <w:pPr>
        <w:tabs>
          <w:tab w:val="num" w:pos="3630"/>
        </w:tabs>
        <w:spacing/>
        <w:ind w:left="3630" w:hanging="510"/>
      </w:pPr>
      <w:rPr>
        <w:rFonts w:hint="default"/>
        <w:b w:val="0"/>
        <w:bCs/>
      </w:rPr>
    </w:lvl>
    <w:lvl w:ilvl="2">
      <w:start w:val="1"/>
      <w:numFmt w:val="decimal"/>
      <w:suff w:val="tab"/>
      <w:lvlText w:val="%1.%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21">
    <w:nsid w:val="3DC459F4"/>
    <w:lvl w:ilvl="0">
      <w:start w:val="1"/>
      <w:numFmt w:val="decimal"/>
      <w:suff w:val="tab"/>
      <w:lvlText w:val="%1."/>
      <w:pPr>
        <w:spacing/>
        <w:ind w:left="1347" w:hanging="360"/>
      </w:pPr>
      <w:rPr/>
    </w:lvl>
    <w:lvl w:ilvl="1">
      <w:start w:val="1"/>
      <w:numFmt w:val="lowerLetter"/>
      <w:suff w:val="tab"/>
      <w:lvlText w:val="%2."/>
      <w:pPr>
        <w:spacing/>
        <w:ind w:left="2067" w:hanging="360"/>
      </w:pPr>
      <w:rPr/>
    </w:lvl>
    <w:lvl w:ilvl="2">
      <w:start w:val="1"/>
      <w:numFmt w:val="lowerRoman"/>
      <w:suff w:val="tab"/>
      <w:lvlText w:val="%3."/>
      <w:lvlJc w:val="right"/>
      <w:pPr>
        <w:spacing/>
        <w:ind w:left="2787" w:hanging="180"/>
      </w:pPr>
      <w:rPr/>
    </w:lvl>
    <w:lvl w:ilvl="3">
      <w:start w:val="1"/>
      <w:numFmt w:val="decimal"/>
      <w:suff w:val="tab"/>
      <w:lvlText w:val="%4."/>
      <w:pPr>
        <w:spacing/>
        <w:ind w:left="3507" w:hanging="360"/>
      </w:pPr>
      <w:rPr/>
    </w:lvl>
    <w:lvl w:ilvl="4">
      <w:start w:val="1"/>
      <w:numFmt w:val="lowerLetter"/>
      <w:suff w:val="tab"/>
      <w:lvlText w:val="%5."/>
      <w:pPr>
        <w:spacing/>
        <w:ind w:left="4227" w:hanging="360"/>
      </w:pPr>
      <w:rPr/>
    </w:lvl>
    <w:lvl w:ilvl="5">
      <w:start w:val="1"/>
      <w:numFmt w:val="lowerRoman"/>
      <w:suff w:val="tab"/>
      <w:lvlText w:val="%6."/>
      <w:lvlJc w:val="right"/>
      <w:pPr>
        <w:spacing/>
        <w:ind w:left="4947" w:hanging="180"/>
      </w:pPr>
      <w:rPr/>
    </w:lvl>
    <w:lvl w:ilvl="6">
      <w:start w:val="1"/>
      <w:numFmt w:val="decimal"/>
      <w:suff w:val="tab"/>
      <w:lvlText w:val="%7."/>
      <w:pPr>
        <w:spacing/>
        <w:ind w:left="5667" w:hanging="360"/>
      </w:pPr>
      <w:rPr/>
    </w:lvl>
    <w:lvl w:ilvl="7">
      <w:start w:val="1"/>
      <w:numFmt w:val="lowerLetter"/>
      <w:suff w:val="tab"/>
      <w:lvlText w:val="%8."/>
      <w:pPr>
        <w:spacing/>
        <w:ind w:left="6387" w:hanging="360"/>
      </w:pPr>
      <w:rPr/>
    </w:lvl>
    <w:lvl w:ilvl="8">
      <w:start w:val="1"/>
      <w:numFmt w:val="lowerRoman"/>
      <w:suff w:val="tab"/>
      <w:lvlText w:val="%9."/>
      <w:lvlJc w:val="right"/>
      <w:pPr>
        <w:spacing/>
        <w:ind w:left="7107" w:hanging="180"/>
      </w:pPr>
      <w:rPr/>
    </w:lvl>
  </w:abstractNum>
  <w:abstractNum w:abstractNumId="22">
    <w:nsid w:val="43264F9B"/>
    <w:lvl w:ilvl="0">
      <w:start w:val="1"/>
      <w:numFmt w:val="decimal"/>
      <w:suff w:val="tab"/>
      <w:lvlText w:val="%1."/>
      <w:pPr>
        <w:spacing/>
        <w:ind w:left="360" w:hanging="360"/>
      </w:pPr>
      <w:rPr>
        <w:rFonts w:hint="default"/>
      </w:rPr>
    </w:lvl>
    <w:lvl w:ilvl="1">
      <w:start w:val="1"/>
      <w:numFmt w:val="decimal"/>
      <w:suff w:val="tab"/>
      <w:lvlText w:val="2.%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3">
    <w:nsid w:val="46DF1823"/>
    <w:lvl w:ilvl="0">
      <w:start w:val="1"/>
      <w:numFmt w:val="decimal"/>
      <w:suff w:val="tab"/>
      <w:lvlText w:val="%1."/>
      <w:pPr>
        <w:spacing/>
        <w:ind w:left="360" w:hanging="360"/>
      </w:pPr>
      <w:rPr>
        <w:b w:val="0"/>
        <w:bCs w:val="0"/>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4">
    <w:nsid w:val="4A1373C4"/>
    <w:lvl w:ilvl="0">
      <w:start w:val="1"/>
      <w:numFmt w:val="upperRoman"/>
      <w:suff w:val="tab"/>
      <w:lvlText w:val="%1."/>
      <w:pPr>
        <w:spacing/>
        <w:ind w:left="1440" w:hanging="720"/>
      </w:pPr>
      <w:rPr>
        <w:rFonts w:hint="default"/>
      </w:rPr>
    </w:lvl>
    <w:lvl w:ilvl="1">
      <w:start w:val="1"/>
      <w:numFmt w:val="lowerLetter"/>
      <w:suff w:val="tab"/>
      <w:lvlText w:val="%2."/>
      <w:pPr>
        <w:spacing/>
        <w:ind w:left="1800" w:hanging="360"/>
      </w:pPr>
      <w:rPr/>
    </w:lvl>
    <w:lvl w:ilvl="2">
      <w:start w:val="1"/>
      <w:numFmt w:val="lowerRoman"/>
      <w:suff w:val="tab"/>
      <w:lvlText w:val="%3."/>
      <w:lvlJc w:val="right"/>
      <w:pPr>
        <w:spacing/>
        <w:ind w:left="2520" w:hanging="180"/>
      </w:pPr>
      <w:rPr/>
    </w:lvl>
    <w:lvl w:ilvl="3">
      <w:start w:val="1"/>
      <w:numFmt w:val="decimal"/>
      <w:suff w:val="tab"/>
      <w:lvlText w:val="%4."/>
      <w:pPr>
        <w:spacing/>
        <w:ind w:left="3240" w:hanging="360"/>
      </w:pPr>
      <w:rPr/>
    </w:lvl>
    <w:lvl w:ilvl="4">
      <w:start w:val="1"/>
      <w:numFmt w:val="lowerLetter"/>
      <w:suff w:val="tab"/>
      <w:lvlText w:val="%5."/>
      <w:pPr>
        <w:spacing/>
        <w:ind w:left="3960" w:hanging="360"/>
      </w:pPr>
      <w:rPr/>
    </w:lvl>
    <w:lvl w:ilvl="5">
      <w:start w:val="1"/>
      <w:numFmt w:val="lowerRoman"/>
      <w:suff w:val="tab"/>
      <w:lvlText w:val="%6."/>
      <w:lvlJc w:val="right"/>
      <w:pPr>
        <w:spacing/>
        <w:ind w:left="4680" w:hanging="180"/>
      </w:pPr>
      <w:rPr/>
    </w:lvl>
    <w:lvl w:ilvl="6">
      <w:start w:val="1"/>
      <w:numFmt w:val="decimal"/>
      <w:suff w:val="tab"/>
      <w:lvlText w:val="%7."/>
      <w:pPr>
        <w:spacing/>
        <w:ind w:left="5400" w:hanging="360"/>
      </w:pPr>
      <w:rPr/>
    </w:lvl>
    <w:lvl w:ilvl="7">
      <w:start w:val="1"/>
      <w:numFmt w:val="lowerLetter"/>
      <w:suff w:val="tab"/>
      <w:lvlText w:val="%8."/>
      <w:pPr>
        <w:spacing/>
        <w:ind w:left="6120" w:hanging="360"/>
      </w:pPr>
      <w:rPr/>
    </w:lvl>
    <w:lvl w:ilvl="8">
      <w:start w:val="1"/>
      <w:numFmt w:val="lowerRoman"/>
      <w:suff w:val="tab"/>
      <w:lvlText w:val="%9."/>
      <w:lvlJc w:val="right"/>
      <w:pPr>
        <w:spacing/>
        <w:ind w:left="6840" w:hanging="180"/>
      </w:pPr>
      <w:rPr/>
    </w:lvl>
  </w:abstractNum>
  <w:abstractNum w:abstractNumId="25">
    <w:nsid w:val="4BBF30AD"/>
    <w:lvl w:ilvl="0">
      <w:start w:val="1"/>
      <w:numFmt w:val="decimal"/>
      <w:suff w:val="tab"/>
      <w:lvlText w:val="%1."/>
      <w:pPr>
        <w:spacing/>
        <w:ind w:left="360" w:hanging="360"/>
      </w:pPr>
      <w:rPr>
        <w:b w:val="0"/>
        <w:bCs w:val="0"/>
      </w:rPr>
    </w:lvl>
    <w:lvl w:ilvl="1">
      <w:start w:val="1"/>
      <w:numFmt w:val="decimal"/>
      <w:suff w:val="tab"/>
      <w:lvlText w:val="%1.%2."/>
      <w:pPr>
        <w:spacing/>
        <w:ind w:left="792" w:hanging="432"/>
      </w:pPr>
      <w:rPr>
        <w:rFonts w:hint="default"/>
      </w:rPr>
    </w:lvl>
    <w:lvl w:ilvl="2">
      <w:start w:val="1"/>
      <w:numFmt w:val="bullet"/>
      <w:suff w:val="tab"/>
      <w:lvlText w:val=""/>
      <w:pPr>
        <w:spacing/>
        <w:ind w:left="1080" w:hanging="360"/>
      </w:pPr>
      <w:rPr>
        <w:rFonts w:ascii="Symbol" w:hAnsi="Symbol"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6">
    <w:nsid w:val="4FE016BC"/>
    <w:lvl w:ilvl="0">
      <w:start w:val="1"/>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27">
    <w:nsid w:val="507429CE"/>
    <w:lvl w:ilvl="0">
      <w:start w:val="1"/>
      <w:numFmt w:val="decimal"/>
      <w:suff w:val="tab"/>
      <w:lvlText w:val="%1."/>
      <w:pPr>
        <w:spacing/>
        <w:ind w:left="900" w:hanging="360"/>
      </w:pPr>
      <w:rPr>
        <w:rFonts w:cs="Times New Roman" w:hint="default"/>
        <w:b w:val="0"/>
        <w:bCs/>
        <w:i w:val="0"/>
        <w:iCs w:val="0"/>
        <w:strike w:val="0"/>
        <w:dstrike w:val="0"/>
        <w:color w:val="auto"/>
        <w:sz w:val="24"/>
        <w:szCs w:val="24"/>
        <w:u w:val="none"/>
        <w:effect w:val="none"/>
      </w:rPr>
    </w:lvl>
    <w:lvl w:ilvl="1">
      <w:start w:val="1"/>
      <w:numFmt w:val="decimal"/>
      <w:suff w:val="tab"/>
      <w:lvlText w:val="%1.%2."/>
      <w:pPr>
        <w:spacing/>
        <w:ind w:left="858" w:hanging="432"/>
      </w:pPr>
      <w:rPr>
        <w:rFonts w:cs="Times New Roman" w:hint="default"/>
        <w:b w:val="0"/>
        <w:bCs/>
        <w:sz w:val="24"/>
        <w:szCs w:val="24"/>
      </w:rPr>
    </w:lvl>
    <w:lvl w:ilvl="2">
      <w:start w:val="1"/>
      <w:numFmt w:val="decimal"/>
      <w:suff w:val="tab"/>
      <w:lvlText w:val="%1.%2.%3."/>
      <w:pPr>
        <w:spacing/>
        <w:ind w:left="1224" w:hanging="504"/>
      </w:pPr>
      <w:rPr>
        <w:rFonts w:cs="Times New Roman" w:hint="default"/>
        <w:sz w:val="24"/>
        <w:szCs w:val="24"/>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28">
    <w:nsid w:val="539A762A"/>
    <w:lvl w:ilvl="0">
      <w:start w:val="1"/>
      <w:numFmt w:val="decimal"/>
      <w:suff w:val="tab"/>
      <w:lvlText w:val="%1."/>
      <w:pPr>
        <w:spacing/>
        <w:ind w:left="360" w:hanging="360"/>
      </w:pPr>
      <w:rPr>
        <w:rFonts w:hint="default"/>
      </w:rPr>
    </w:lvl>
    <w:lvl w:ilvl="1">
      <w:start w:val="1"/>
      <w:numFmt w:val="decimal"/>
      <w:suff w:val="tab"/>
      <w:lvlText w:val="3.%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9">
    <w:nsid w:val="71C73746"/>
    <w:styleLink w:val="Stilius4"/>
    <w:lvl w:ilvl="0">
      <w:start w:val="4"/>
      <w:numFmt w:val="decimal"/>
      <w:suff w:val="tab"/>
      <w:lvlText w:val="%1."/>
      <w:pPr>
        <w:tabs>
          <w:tab w:val="num" w:pos="510"/>
        </w:tabs>
        <w:spacing/>
        <w:ind w:left="510" w:hanging="510"/>
      </w:pPr>
      <w:rPr>
        <w:rFonts w:hint="default"/>
        <w:b w:val="0"/>
        <w:bCs w:val="0"/>
      </w:rPr>
    </w:lvl>
    <w:lvl w:ilvl="1">
      <w:start w:val="1"/>
      <w:numFmt w:val="decimal"/>
      <w:suff w:val="tab"/>
      <w:lvlText w:val="4.%2."/>
      <w:pPr>
        <w:tabs>
          <w:tab w:val="num" w:pos="1077"/>
        </w:tabs>
        <w:spacing/>
        <w:ind w:left="1077" w:hanging="510"/>
      </w:pPr>
      <w:rPr>
        <w:rFonts w:hint="default"/>
        <w:b/>
        <w:bCs w:val="0"/>
      </w:rPr>
    </w:lvl>
    <w:lvl w:ilvl="2">
      <w:start w:val="1"/>
      <w:numFmt w:val="decimal"/>
      <w:suff w:val="tab"/>
      <w:lvlText w:val="4.%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30">
    <w:nsid w:val="5820198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1">
    <w:nsid w:val="5E937E81"/>
    <w:lvl w:ilvl="0">
      <w:start w:val="1"/>
      <w:numFmt w:val="decimal"/>
      <w:suff w:val="tab"/>
      <w:lvlText w:val="%1."/>
      <w:pPr>
        <w:spacing/>
        <w:ind w:left="900" w:hanging="360"/>
      </w:pPr>
      <w:rPr>
        <w:rFonts w:cs="Times New Roman" w:hint="default"/>
        <w:b w:val="0"/>
        <w:bCs/>
        <w:i w:val="0"/>
        <w:iCs w:val="0"/>
        <w:strike w:val="0"/>
        <w:dstrike w:val="0"/>
        <w:color w:val="auto"/>
        <w:sz w:val="22"/>
        <w:szCs w:val="22"/>
        <w:u w:val="none"/>
        <w:effect w:val="none"/>
      </w:rPr>
    </w:lvl>
    <w:lvl w:ilvl="1">
      <w:start w:val="1"/>
      <w:numFmt w:val="decimal"/>
      <w:suff w:val="tab"/>
      <w:lvlText w:val="%1.%2."/>
      <w:pPr>
        <w:spacing/>
        <w:ind w:left="1850" w:hanging="432"/>
      </w:pPr>
      <w:rPr>
        <w:rFonts w:cs="Times New Roman" w:hint="default"/>
        <w:b w:val="0"/>
        <w:bCs/>
        <w:i w:val="0"/>
        <w:iCs w:val="0"/>
        <w:strike w:val="0"/>
        <w:color w:val="auto"/>
        <w:sz w:val="22"/>
        <w:szCs w:val="22"/>
      </w:rPr>
    </w:lvl>
    <w:lvl w:ilvl="2">
      <w:start w:val="1"/>
      <w:numFmt w:val="decimal"/>
      <w:suff w:val="tab"/>
      <w:lvlText w:val="%1.%2.%3."/>
      <w:pPr>
        <w:spacing/>
        <w:ind w:left="1224" w:hanging="504"/>
      </w:pPr>
      <w:rPr>
        <w:rFonts w:cs="Times New Roman" w:hint="default"/>
        <w:sz w:val="22"/>
        <w:szCs w:val="22"/>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32">
    <w:nsid w:val="609D336F"/>
    <w:lvl w:ilvl="0">
      <w:start w:val="1"/>
      <w:numFmt w:val="decimal"/>
      <w:suff w:val="tab"/>
      <w:lvlText w:val="%1."/>
      <w:pPr>
        <w:spacing/>
        <w:ind w:left="900" w:hanging="360"/>
      </w:pPr>
      <w:rPr>
        <w:rFonts w:cs="Times New Roman" w:hint="default"/>
        <w:b w:val="0"/>
        <w:bCs/>
        <w:i w:val="0"/>
        <w:iCs w:val="0"/>
        <w:strike w:val="0"/>
        <w:dstrike w:val="0"/>
        <w:color w:val="auto"/>
        <w:sz w:val="22"/>
        <w:szCs w:val="22"/>
        <w:u w:val="none"/>
        <w:effect w:val="none"/>
      </w:rPr>
    </w:lvl>
    <w:lvl w:ilvl="1">
      <w:start w:val="1"/>
      <w:numFmt w:val="decimal"/>
      <w:suff w:val="tab"/>
      <w:lvlText w:val="%1.%2."/>
      <w:pPr>
        <w:spacing/>
        <w:ind w:left="1850" w:hanging="432"/>
      </w:pPr>
      <w:rPr>
        <w:rFonts w:cs="Times New Roman" w:hint="default"/>
        <w:b w:val="0"/>
        <w:bCs/>
        <w:i w:val="0"/>
        <w:iCs w:val="0"/>
        <w:strike w:val="0"/>
        <w:color w:val="auto"/>
        <w:sz w:val="22"/>
        <w:szCs w:val="22"/>
      </w:rPr>
    </w:lvl>
    <w:lvl w:ilvl="2">
      <w:start w:val="1"/>
      <w:numFmt w:val="decimal"/>
      <w:suff w:val="tab"/>
      <w:lvlText w:val="%1.%2.%3."/>
      <w:pPr>
        <w:spacing/>
        <w:ind w:left="1224" w:hanging="504"/>
      </w:pPr>
      <w:rPr>
        <w:rFonts w:cs="Times New Roman" w:hint="default"/>
        <w:sz w:val="22"/>
        <w:szCs w:val="22"/>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33">
    <w:nsid w:val="63601B4D"/>
    <w:lvl w:ilvl="0">
      <w:start w:val="1"/>
      <w:numFmt w:val="decimal"/>
      <w:suff w:val="tab"/>
      <w:lvlText w:val="%1."/>
      <w:pPr>
        <w:spacing/>
        <w:ind w:left="360" w:hanging="360"/>
      </w:pPr>
      <w:rPr>
        <w:rFonts w:hint="default"/>
      </w:rPr>
    </w:lvl>
    <w:lvl w:ilvl="1">
      <w:start w:val="1"/>
      <w:numFmt w:val="decimal"/>
      <w:suff w:val="tab"/>
      <w:lvlText w:val="3.%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4">
    <w:nsid w:val="67335C9A"/>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5">
    <w:nsid w:val="6D620EB7"/>
    <w:lvl w:ilvl="0">
      <w:start w:val="4"/>
      <w:numFmt w:val="decimal"/>
      <w:suff w:val="tab"/>
      <w:lvlText w:val="%1."/>
      <w:pPr>
        <w:tabs>
          <w:tab w:val="num" w:pos="510"/>
        </w:tabs>
        <w:spacing/>
        <w:ind w:left="510" w:hanging="510"/>
      </w:pPr>
      <w:rPr>
        <w:rFonts w:hint="default"/>
        <w:b/>
        <w:bCs/>
      </w:rPr>
    </w:lvl>
    <w:lvl w:ilvl="1">
      <w:start w:val="1"/>
      <w:numFmt w:val="decimal"/>
      <w:suff w:val="tab"/>
      <w:lvlText w:val="5.%2."/>
      <w:pPr>
        <w:tabs>
          <w:tab w:val="num" w:pos="1077"/>
        </w:tabs>
        <w:spacing/>
        <w:ind w:left="1077" w:hanging="510"/>
      </w:pPr>
      <w:rPr>
        <w:rFonts w:hint="default"/>
        <w:b w:val="0"/>
        <w:bCs/>
        <w:strike w:val="0"/>
      </w:rPr>
    </w:lvl>
    <w:lvl w:ilvl="2">
      <w:start w:val="1"/>
      <w:numFmt w:val="decimal"/>
      <w:suff w:val="tab"/>
      <w:lvlText w:val="5.%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36">
    <w:nsid w:val="75F9276D"/>
    <w:lvl w:ilvl="0">
      <w:start w:val="1"/>
      <w:numFmt w:val="decimal"/>
      <w:suff w:val="tab"/>
      <w:lvlText w:val="%1."/>
      <w:pPr>
        <w:spacing/>
        <w:ind w:left="928" w:hanging="360"/>
      </w:pPr>
      <w:rPr>
        <w:rFonts w:ascii="Times New Roman" w:hAnsi="Times New Roman" w:eastAsia="Times New Roman" w:cs="Times New Roman" w:hint="default"/>
        <w:b w:val="0"/>
        <w:i w:val="0"/>
        <w:strike w:val="0"/>
        <w:color w:val="auto"/>
      </w:rPr>
    </w:lvl>
    <w:lvl w:ilvl="1">
      <w:start w:val="1"/>
      <w:numFmt w:val="decimal"/>
      <w:suff w:val="tab"/>
      <w:lvlText w:val="%1.%2."/>
      <w:pPr>
        <w:spacing/>
        <w:ind w:left="1851" w:hanging="432"/>
      </w:pPr>
      <w:rPr>
        <w:rFonts w:hint="default"/>
        <w:i w:val="0"/>
        <w:color w:val="auto"/>
      </w:rPr>
    </w:lvl>
    <w:lvl w:ilvl="2">
      <w:start w:val="1"/>
      <w:numFmt w:val="decimal"/>
      <w:suff w:val="tab"/>
      <w:lvlText w:val="6.3.%3."/>
      <w:pPr>
        <w:spacing/>
        <w:ind w:left="2206" w:hanging="504"/>
      </w:pPr>
      <w:rPr>
        <w:rFonts w:hint="default"/>
        <w:i w:val="0"/>
      </w:rPr>
    </w:lvl>
    <w:lvl w:ilvl="3">
      <w:start w:val="1"/>
      <w:numFmt w:val="decimal"/>
      <w:suff w:val="tab"/>
      <w:lvlText w:val="11.7.3.%4."/>
      <w:pPr>
        <w:spacing/>
        <w:ind w:left="1728" w:hanging="648"/>
      </w:pPr>
      <w:rPr>
        <w:rFonts w:hint="default"/>
        <w:i w:val="0"/>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7">
    <w:nsid w:val="77B4128C"/>
    <w:lvl w:ilvl="0">
      <w:start w:val="1"/>
      <w:numFmt w:val="decimal"/>
      <w:suff w:val="tab"/>
      <w:lvlText w:val="%1."/>
      <w:pPr>
        <w:spacing/>
        <w:ind w:left="360" w:hanging="360"/>
      </w:pPr>
      <w:rPr>
        <w:b w:val="0"/>
        <w:bCs w:val="0"/>
      </w:rPr>
    </w:lvl>
    <w:lvl w:ilvl="1">
      <w:start w:val="3"/>
      <w:numFmt w:val="bullet"/>
      <w:suff w:val="tab"/>
      <w:lvlText w:val="–"/>
      <w:pPr>
        <w:spacing/>
        <w:ind w:left="720" w:hanging="360"/>
      </w:pPr>
      <w:rPr>
        <w:rFonts w:ascii="Times New Roman" w:hAnsi="Times New Roman" w:eastAsia="SimSun" w:cs="Times New Roman"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8">
    <w:nsid w:val="7A1E251F"/>
    <w:lvl w:ilvl="0">
      <w:start w:val="1"/>
      <w:numFmt w:val="decimal"/>
      <w:suff w:val="tab"/>
      <w:lvlText w:val="%1."/>
      <w:pPr>
        <w:spacing/>
        <w:ind w:left="360" w:hanging="360"/>
      </w:pPr>
      <w:rPr>
        <w:rFonts w:hint="default"/>
      </w:rPr>
    </w:lvl>
    <w:lvl w:ilvl="1">
      <w:start w:val="1"/>
      <w:numFmt w:val="decimal"/>
      <w:suff w:val="tab"/>
      <w:lvlText w:val="8.%2."/>
      <w:pPr>
        <w:spacing/>
        <w:ind w:left="792" w:hanging="432"/>
      </w:pPr>
      <w:rPr>
        <w:rFonts w:hint="default"/>
        <w:strike w:val="0"/>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9">
    <w:nsid w:val="7B412EA1"/>
    <w:lvl w:ilvl="0">
      <w:start w:val="1"/>
      <w:numFmt w:val="decimal"/>
      <w:suff w:val="tab"/>
      <w:lvlText w:val="%1."/>
      <w:pPr>
        <w:spacing/>
        <w:ind w:left="900" w:hanging="360"/>
      </w:pPr>
      <w:rPr>
        <w:rFonts w:cs="Times New Roman" w:hint="default"/>
        <w:b w:val="0"/>
        <w:bCs/>
        <w:i w:val="0"/>
        <w:iCs w:val="0"/>
        <w:strike w:val="0"/>
        <w:dstrike w:val="0"/>
        <w:color w:val="auto"/>
        <w:sz w:val="24"/>
        <w:szCs w:val="24"/>
        <w:u w:val="none"/>
        <w:effect w:val="none"/>
      </w:rPr>
    </w:lvl>
    <w:lvl w:ilvl="1">
      <w:start w:val="1"/>
      <w:numFmt w:val="decimal"/>
      <w:suff w:val="tab"/>
      <w:lvlText w:val="%12.%2."/>
      <w:pPr>
        <w:spacing/>
        <w:ind w:left="858" w:hanging="432"/>
      </w:pPr>
      <w:rPr>
        <w:rFonts w:cs="Times New Roman" w:hint="default"/>
        <w:sz w:val="24"/>
        <w:szCs w:val="24"/>
      </w:rPr>
    </w:lvl>
    <w:lvl w:ilvl="2">
      <w:start w:val="1"/>
      <w:numFmt w:val="decimal"/>
      <w:suff w:val="tab"/>
      <w:lvlText w:val="%1.%2.%3."/>
      <w:pPr>
        <w:spacing/>
        <w:ind w:left="1224" w:hanging="504"/>
      </w:pPr>
      <w:rPr>
        <w:rFonts w:cs="Times New Roman" w:hint="default"/>
      </w:rPr>
    </w:lvl>
    <w:lvl w:ilvl="3">
      <w:start w:val="1"/>
      <w:numFmt w:val="decimal"/>
      <w:suff w:val="tab"/>
      <w:lvlText w:val="%1.%2.%3.%4."/>
      <w:pPr>
        <w:spacing/>
        <w:ind w:left="1728" w:hanging="648"/>
      </w:pPr>
      <w:rPr>
        <w:rFonts w:cs="Times New Roman" w:hint="default"/>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40">
    <w:nsid w:val="7EA0093A"/>
    <w:lvl w:ilvl="0">
      <w:start w:val="1"/>
      <w:numFmt w:val="decimal"/>
      <w:suff w:val="tab"/>
      <w:lvlText w:val="%1."/>
      <w:pPr>
        <w:spacing/>
        <w:ind w:left="1069" w:hanging="360"/>
      </w:pPr>
      <w:rPr>
        <w:rFonts w:hint="default"/>
      </w:rPr>
    </w:lvl>
    <w:lvl w:ilvl="1">
      <w:start w:val="1"/>
      <w:numFmt w:val="decimal"/>
      <w:isLgl/>
      <w:suff w:val="tab"/>
      <w:lvlText w:val="%1.%2."/>
      <w:pPr>
        <w:spacing/>
        <w:ind w:left="1069" w:hanging="360"/>
      </w:pPr>
      <w:rPr>
        <w:rFonts w:hint="default"/>
      </w:rPr>
    </w:lvl>
    <w:lvl w:ilvl="2">
      <w:start w:val="1"/>
      <w:numFmt w:val="decimal"/>
      <w:isLgl/>
      <w:suff w:val="tab"/>
      <w:lvlText w:val="6.2.%3."/>
      <w:pPr>
        <w:spacing/>
        <w:ind w:left="1429" w:hanging="720"/>
      </w:pPr>
      <w:rPr>
        <w:rFonts w:hint="default"/>
      </w:rPr>
    </w:lvl>
    <w:lvl w:ilvl="3">
      <w:start w:val="1"/>
      <w:numFmt w:val="decimal"/>
      <w:isLgl/>
      <w:suff w:val="tab"/>
      <w:lvlText w:val="11.7.2.%4."/>
      <w:pPr>
        <w:spacing/>
        <w:ind w:left="1429" w:hanging="720"/>
      </w:pPr>
      <w:rPr>
        <w:rFonts w:hint="default"/>
      </w:rPr>
    </w:lvl>
    <w:lvl w:ilvl="4">
      <w:start w:val="1"/>
      <w:numFmt w:val="decimal"/>
      <w:isLgl/>
      <w:suff w:val="tab"/>
      <w:lvlText w:val="%1.%2.%3.%4.%5."/>
      <w:pPr>
        <w:spacing/>
        <w:ind w:left="1789" w:hanging="1080"/>
      </w:pPr>
      <w:rPr>
        <w:rFonts w:hint="default"/>
      </w:rPr>
    </w:lvl>
    <w:lvl w:ilvl="5">
      <w:start w:val="1"/>
      <w:numFmt w:val="decimal"/>
      <w:isLgl/>
      <w:suff w:val="tab"/>
      <w:lvlText w:val="%1.%2.%3.%4.%5.%6."/>
      <w:pPr>
        <w:spacing/>
        <w:ind w:left="1789" w:hanging="1080"/>
      </w:pPr>
      <w:rPr>
        <w:rFonts w:hint="default"/>
      </w:rPr>
    </w:lvl>
    <w:lvl w:ilvl="6">
      <w:start w:val="1"/>
      <w:numFmt w:val="decimal"/>
      <w:isLgl/>
      <w:suff w:val="tab"/>
      <w:lvlText w:val="%1.%2.%3.%4.%5.%6.%7."/>
      <w:pPr>
        <w:spacing/>
        <w:ind w:left="2149" w:hanging="1440"/>
      </w:pPr>
      <w:rPr>
        <w:rFonts w:hint="default"/>
      </w:rPr>
    </w:lvl>
    <w:lvl w:ilvl="7">
      <w:start w:val="1"/>
      <w:numFmt w:val="decimal"/>
      <w:isLgl/>
      <w:suff w:val="tab"/>
      <w:lvlText w:val="%1.%2.%3.%4.%5.%6.%7.%8."/>
      <w:pPr>
        <w:spacing/>
        <w:ind w:left="2149" w:hanging="1440"/>
      </w:pPr>
      <w:rPr>
        <w:rFonts w:hint="default"/>
      </w:rPr>
    </w:lvl>
    <w:lvl w:ilvl="8">
      <w:start w:val="1"/>
      <w:numFmt w:val="decimal"/>
      <w:isLgl/>
      <w:suff w:val="tab"/>
      <w:lvlText w:val="%1.%2.%3.%4.%5.%6.%7.%8.%9."/>
      <w:pPr>
        <w:spacing/>
        <w:ind w:left="2509"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table" w:styleId="TableGrid">
    <w:name w:val="Table Grid"/>
    <w:basedOn w:val="TableNorma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 w:default="1">
    <w:name w:val="Normal"/>
    <w:qFormat/>
    <w:pPr>
      <w:spacing w:after="0" w:line="240" w:lineRule="auto"/>
      <w:jc w:val="both"/>
    </w:pPr>
    <w:rPr>
      <w:rFonts w:ascii="Times New Roman" w:hAnsi="Times New Roman" w:eastAsia="Times New Roman" w:cs="Times New Roman"/>
      <w:sz w:val="24"/>
      <w:szCs w:val="20"/>
    </w:rPr>
  </w:style>
  <w:style w:type="paragraph" w:styleId="Heading2">
    <w:name w:val="Heading 2"/>
    <w:basedOn w:val="Normal"/>
    <w:next w:val="Normal"/>
    <w:link w:val="Heading2Char"/>
    <w:uiPriority w:val="9"/>
    <w:unhideWhenUsed/>
    <w:qFormat/>
    <w:pPr>
      <w:keepNext/>
      <w:keepLines/>
      <w:spacing w:before="40"/>
      <w:outlineLvl w:val="1"/>
    </w:pPr>
    <w:rPr>
      <w:rFonts w:asciiTheme="majorHAnsi" w:hAnsiTheme="majorHAnsi" w:eastAsiaTheme="majorEastAsia" w:cstheme="majorBidi"/>
      <w:color w:val="2F5496"/>
      <w:sz w:val="26"/>
      <w:szCs w:val="26"/>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BodyText">
    <w:name w:val="Body Text"/>
    <w:basedOn w:val="Normal"/>
    <w:link w:val="BodyTextChar"/>
    <w:pPr>
      <w:spacing/>
      <w:ind w:firstLine="567"/>
    </w:pPr>
    <w:rPr/>
  </w:style>
  <w:style w:type="character" w:styleId="BodyTextChar" w:customStyle="1">
    <w:name w:val="Body Text Char"/>
    <w:basedOn w:val="DefaultParagraphFont"/>
    <w:link w:val="BodyText"/>
    <w:rPr>
      <w:rFonts w:ascii="Times New Roman" w:hAnsi="Times New Roman" w:eastAsia="Times New Roman" w:cs="Times New Roman"/>
      <w:sz w:val="24"/>
      <w:szCs w:val="20"/>
    </w:rPr>
  </w:style>
  <w:style w:type="character" w:styleId="Hyperlink">
    <w:name w:val="Hyperlink"/>
    <w:basedOn w:val="DefaultParagraphFont"/>
    <w:uiPriority w:val="99"/>
    <w:unhideWhenUsed/>
    <w:rPr>
      <w:color w:val="0000FF"/>
      <w:u w:val="single"/>
    </w:rPr>
  </w:style>
  <w:style w:type="character" w:styleId="normal-h" w:customStyle="1">
    <w:name w:val="normal-h"/>
    <w:basedOn w:val="DefaultParagraphFont"/>
    <w:rPr/>
  </w:style>
  <w:style w:type="paragraph" w:styleId="ListParagraph">
    <w:name w:val="List Paragraph"/>
    <w:basedOn w:val="Normal"/>
    <w:link w:val="ListParagraphChar"/>
    <w:qFormat/>
    <w:pPr>
      <w:spacing/>
      <w:ind w:left="720"/>
      <w:contextualSpacing/>
      <w:jc w:val="left"/>
    </w:pPr>
    <w:rPr>
      <w:szCs w:val="24"/>
      <w:lang w:eastAsia="lt-LT"/>
    </w:rPr>
  </w:style>
  <w:style w:type="paragraph" w:styleId="Header">
    <w:name w:val="Header"/>
    <w:basedOn w:val="Normal"/>
    <w:link w:val="HeaderChar"/>
    <w:uiPriority w:val="99"/>
    <w:unhideWhenUsed/>
    <w:pPr>
      <w:tabs>
        <w:tab w:val="center" w:pos="4819"/>
        <w:tab w:val="right" w:pos="9638"/>
      </w:tabs>
      <w:spacing/>
      <w:jc w:val="left"/>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rPr>
  </w:style>
  <w:style w:type="paragraph" w:styleId="BodyTextIndent">
    <w:name w:val="Body Text Indent"/>
    <w:basedOn w:val="Normal"/>
    <w:link w:val="BodyTextIndentChar"/>
    <w:uiPriority w:val="99"/>
    <w:semiHidden/>
    <w:unhideWhenUsed/>
    <w:pPr>
      <w:spacing w:after="120"/>
      <w:ind w:left="283"/>
    </w:pPr>
    <w:rPr/>
  </w:style>
  <w:style w:type="character" w:styleId="BodyTextIndentChar" w:customStyle="1">
    <w:name w:val="Body Text Indent Char"/>
    <w:basedOn w:val="DefaultParagraphFont"/>
    <w:link w:val="BodyTextIndent"/>
    <w:uiPriority w:val="99"/>
    <w:semiHidden/>
    <w:rPr>
      <w:rFonts w:ascii="Times New Roman" w:hAnsi="Times New Roman" w:eastAsia="Times New Roman" w:cs="Times New Roman"/>
      <w:sz w:val="24"/>
      <w:szCs w:val="20"/>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0"/>
    </w:rPr>
  </w:style>
  <w:style w:type="paragraph" w:styleId="BodyText2">
    <w:name w:val="Body Text 2"/>
    <w:basedOn w:val="Normal"/>
    <w:link w:val="BodyText2Char"/>
    <w:uiPriority w:val="99"/>
    <w:unhideWhenUsed/>
    <w:pPr>
      <w:spacing w:after="120" w:line="480" w:lineRule="auto"/>
      <w:jc w:val="left"/>
    </w:pPr>
    <w:rPr>
      <w:sz w:val="20"/>
      <w:lang w:eastAsia="lt-LT"/>
    </w:rPr>
  </w:style>
  <w:style w:type="character" w:styleId="BodyText2Char" w:customStyle="1">
    <w:name w:val="Body Text 2 Char"/>
    <w:basedOn w:val="DefaultParagraphFont"/>
    <w:link w:val="BodyText2"/>
    <w:uiPriority w:val="99"/>
    <w:rPr>
      <w:rFonts w:ascii="Times New Roman" w:hAnsi="Times New Roman" w:eastAsia="Times New Roman" w:cs="Times New Roman"/>
      <w:sz w:val="20"/>
      <w:szCs w:val="20"/>
      <w:lang w:eastAsia="lt-LT"/>
    </w:rPr>
  </w:style>
  <w:style w:type="paragraph" w:styleId="BodyTextIndent2">
    <w:name w:val="Body Text Indent 2"/>
    <w:basedOn w:val="Normal"/>
    <w:link w:val="BodyTextIndent2Char"/>
    <w:uiPriority w:val="99"/>
    <w:semiHidden/>
    <w:unhideWhenUsed/>
    <w:pPr>
      <w:spacing w:after="120" w:line="480" w:lineRule="auto"/>
      <w:ind w:left="283"/>
      <w:jc w:val="left"/>
    </w:pPr>
    <w:rPr>
      <w:sz w:val="20"/>
      <w:lang w:eastAsia="lt-LT"/>
    </w:rPr>
  </w:style>
  <w:style w:type="character" w:styleId="BodyTextIndent2Char" w:customStyle="1">
    <w:name w:val="Body Text Indent 2 Char"/>
    <w:basedOn w:val="DefaultParagraphFont"/>
    <w:link w:val="BodyTextIndent2"/>
    <w:uiPriority w:val="99"/>
    <w:semiHidden/>
    <w:rPr>
      <w:rFonts w:ascii="Times New Roman" w:hAnsi="Times New Roman" w:eastAsia="Times New Roman" w:cs="Times New Roman"/>
      <w:sz w:val="20"/>
      <w:szCs w:val="20"/>
      <w:lang w:eastAsia="lt-LT"/>
    </w:rPr>
  </w:style>
  <w:style w:type="character" w:styleId="Strong">
    <w:name w:val="Strong"/>
    <w:basedOn w:val="DefaultParagraphFont"/>
    <w:uiPriority w:val="22"/>
    <w:qFormat/>
    <w:rPr>
      <w:b/>
      <w:bCs/>
    </w:rPr>
  </w:style>
  <w:style w:type="character" w:styleId="Paminjimas1" w:customStyle="1">
    <w:name w:val="Paminėjimas1"/>
    <w:basedOn w:val="DefaultParagraphFont"/>
    <w:uiPriority w:val="99"/>
    <w:semiHidden/>
    <w:unhideWhenUsed/>
    <w:rPr>
      <w:color w:val="2B579A"/>
      <w:shd w:val="clear" w:color="auto" w:fill="E6E6E6"/>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nhideWhenUsed/>
    <w:pPr>
      <w:spacing/>
      <w:jc w:val="left"/>
    </w:pPr>
    <w:rPr>
      <w:sz w:val="20"/>
      <w:lang w:eastAsia="lt-LT"/>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statymopavad" w:customStyle="1">
    <w:name w:val="statymopavad"/>
    <w:basedOn w:val="Normal"/>
    <w:pPr>
      <w:spacing w:before="100" w:beforeAutospacing="1" w:after="100" w:afterAutospacing="1"/>
      <w:jc w:val="left"/>
    </w:pPr>
    <w:rPr>
      <w:szCs w:val="24"/>
      <w:lang w:eastAsia="lt-LT"/>
    </w:rPr>
  </w:style>
  <w:style w:type="paragraph" w:styleId="Linija" w:customStyle="1">
    <w:name w:val="Linija"/>
    <w:basedOn w:val="Normal"/>
    <w:pPr>
      <w:suppressAutoHyphens/>
      <w:autoSpaceDE w:val="false"/>
      <w:autoSpaceDN w:val="false"/>
      <w:adjustRightInd w:val="false"/>
      <w:spacing w:line="297" w:lineRule="auto"/>
      <w:jc w:val="center"/>
    </w:pPr>
    <w:rPr>
      <w:color w:val="000000"/>
      <w:sz w:val="12"/>
      <w:szCs w:val="12"/>
      <w:lang w:eastAsia="lt-LT"/>
    </w:rPr>
  </w:style>
  <w:style w:type="paragraph" w:styleId="NoSpacing" w:customStyle="1">
    <w:name w:val="No Spacing"/>
    <w:uiPriority w:val="1"/>
    <w:qFormat/>
    <w:pPr>
      <w:spacing w:after="0" w:line="240" w:lineRule="auto"/>
    </w:pPr>
    <w:rPr>
      <w:rFonts w:ascii="Times New Roman" w:hAnsi="Times New Roman" w:eastAsia="Times New Roman" w:cs="Times New Roman"/>
      <w:sz w:val="24"/>
      <w:szCs w:val="24"/>
      <w:lang w:eastAsia="lt-LT"/>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CharStyle7" w:customStyle="1">
    <w:name w:val="Char Style 7"/>
    <w:basedOn w:val="DefaultParagraphFont"/>
    <w:uiPriority w:val="99"/>
    <w:rPr>
      <w:rFonts w:ascii="Times New Roman" w:hAnsi="Times New Roman" w:cs="Times New Roman"/>
      <w:color w:val="007BBC"/>
      <w:spacing w:val="0"/>
      <w:sz w:val="20"/>
      <w:szCs w:val="20"/>
      <w:u w:val="single"/>
      <w:lang w:val="en-US" w:eastAsia="en-US"/>
    </w:rPr>
  </w:style>
  <w:style w:type="character" w:styleId="Neapdorotaspaminjimas1" w:customStyle="1">
    <w:name w:val="Neapdorotas paminėjimas1"/>
    <w:basedOn w:val="DefaultParagraphFont"/>
    <w:uiPriority w:val="99"/>
    <w:semiHidden/>
    <w:unhideWhenUsed/>
    <w:rPr>
      <w:color w:val="605E5C"/>
      <w:shd w:val="clear" w:color="auto" w:fill="E1DFDD"/>
    </w:rPr>
  </w:style>
  <w:style w:type="character" w:styleId="UnresolvedMention" w:customStyle="1">
    <w:name w:val="Unresolved Mention"/>
    <w:basedOn w:val="DefaultParagraphFont"/>
    <w:uiPriority w:val="99"/>
    <w:semiHidden/>
    <w:unhideWhenUsed/>
    <w:rPr>
      <w:color w:val="605E5C"/>
      <w:shd w:val="clear" w:color="auto" w:fill="E1DFDD"/>
    </w:rPr>
  </w:style>
  <w:style w:type="numbering" w:styleId="Stilius1" w:customStyle="1">
    <w:name w:val="Stilius1"/>
    <w:uiPriority w:val="99"/>
    <w:numPr>
      <w:ilvl w:val="0"/>
      <w:numId w:val="5"/>
    </w:numPr>
  </w:style>
  <w:style w:type="numbering" w:styleId="Stilius2" w:customStyle="1">
    <w:name w:val="Stilius2"/>
    <w:uiPriority w:val="99"/>
    <w:numPr>
      <w:ilvl w:val="0"/>
      <w:numId w:val="9"/>
    </w:numPr>
  </w:style>
  <w:style w:type="character" w:styleId="ListParagraphChar" w:customStyle="1">
    <w:name w:val="List Paragraph Char"/>
    <w:basedOn w:val="DefaultParagraphFont"/>
    <w:link w:val="ListParagraph"/>
    <w:qFormat/>
    <w:rPr>
      <w:rFonts w:ascii="Times New Roman" w:hAnsi="Times New Roman" w:eastAsia="Times New Roman" w:cs="Times New Roman"/>
      <w:sz w:val="24"/>
      <w:szCs w:val="24"/>
      <w:lang w:eastAsia="lt-LT"/>
    </w:rPr>
  </w:style>
  <w:style w:type="numbering" w:styleId="Stilius3" w:customStyle="1">
    <w:name w:val="Stilius3"/>
    <w:uiPriority w:val="99"/>
    <w:numPr>
      <w:ilvl w:val="0"/>
      <w:numId w:val="18"/>
    </w:numPr>
  </w:style>
  <w:style w:type="numbering" w:styleId="Stilius4" w:customStyle="1">
    <w:name w:val="Stilius4"/>
    <w:uiPriority w:val="99"/>
    <w:numPr>
      <w:ilvl w:val="0"/>
      <w:numId w:val="30"/>
    </w:numPr>
  </w:style>
  <w:style w:type="paragraph" w:styleId="prastasis1" w:customStyle="1">
    <w:name w:val="Įprastasis1"/>
    <w:pPr>
      <w:spacing w:after="0" w:line="276" w:lineRule="auto"/>
      <w:jc w:val="both"/>
    </w:pPr>
    <w:rPr>
      <w:rFonts w:ascii="Arial" w:hAnsi="Arial" w:eastAsia="Arial" w:cs="Arial"/>
      <w:lang w:eastAsia="lt-LT"/>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2F5496"/>
      <w:sz w:val="26"/>
      <w:szCs w:val="26"/>
    </w:rPr>
  </w:style>
  <w:style w:type="character" w:styleId="ui-provider" w:customStyle="1">
    <w:name w:val="ui-provider"/>
    <w:basedOn w:val="DefaultParagraphFon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0"/>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header" Target="header2.xml" /><Relationship Id="rId7" Type="http://schemas.openxmlformats.org/officeDocument/2006/relationships/fontTable" Target="fontTable.xml" /><Relationship Id="rId1" Type="http://schemas.openxmlformats.org/officeDocument/2006/relationships/image" Target="media/image1.jpeg"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37ef37-9c49-4000-9131-43b474de2803">
      <UserInfo>
        <DisplayName>
        </DisplayName>
        <AccountId xsi:nil="true">
        </AccountId>
        <AccountType/>
      </UserInfo>
    </SharedWithUsers>
    <TaxCatchAll xmlns="5f37ef37-9c49-4000-9131-43b474de2803" xsi:nil="true"/>
    <lcf76f155ced4ddcb4097134ff3c332f xmlns="7987cee5-cbb3-4eab-ad2c-4406af0f6eb9">
      <Terms xmlns="http://schemas.microsoft.com/office/infopath/2007/PartnerControls">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F1D8F-1FA5-4074-9BE3-FEFE0A1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A629F-6481-476F-8AAB-D6B26775C929}">
  <ds:schemaRefs>
    <ds:schemaRef ds:uri="http://schemas.microsoft.com/sharepoint/v3/contenttype/forms"/>
  </ds:schemaRefs>
</ds:datastoreItem>
</file>

<file path=customXml/itemProps3.xml><?xml version="1.0" encoding="utf-8"?>
<ds:datastoreItem xmlns:ds="http://schemas.openxmlformats.org/officeDocument/2006/customXml" ds:itemID="{3D02B9DF-CF50-4861-9579-1BF01A9E2870}">
  <ds:schemaRefs>
    <ds:schemaRef ds:uri="http://purl.org/dc/terms/"/>
    <ds:schemaRef ds:uri="7987cee5-cbb3-4eab-ad2c-4406af0f6eb9"/>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www.w3.org/XML/1998/namespace"/>
    <ds:schemaRef ds:uri="5f37ef37-9c49-4000-9131-43b474de2803"/>
    <ds:schemaRef ds:uri="http://schemas.microsoft.com/office/2006/documentManagement/types"/>
    <ds:schemaRef ds:uri="http://purl.org/dc/elements/1.1/"/>
  </ds:schemaRefs>
</ds:datastoreItem>
</file>

<file path=customXml/itemProps4.xml><?xml version="1.0" encoding="utf-8"?>
<ds:datastoreItem xmlns:ds="http://schemas.openxmlformats.org/officeDocument/2006/customXml" ds:itemID="{9ADBEE14-70A7-488E-BBFB-F8C619DD1EBF}">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8440</TotalTime>
  <Pages>4</Pages>
  <Words>7319</Words>
  <Characters>4172</Characters>
  <Application>Microsoft Office Word</Application>
  <DocSecurity>0</DocSecurity>
  <Lines>34</Lines>
  <Paragraphs>22</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Lupeikienė</cp:lastModifiedBy>
  <cp:lastPrinted>2018-07-17T11:54:00Z</cp:lastPrinted>
  <cp:revision>2242</cp:revision>
  <dcterms:created xsi:type="dcterms:W3CDTF">2023-09-29T16:48:00Z</dcterms:created>
  <dcterms:modified xsi:type="dcterms:W3CDTF">2026-01-27T06:06:00Z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0x0101007123BA6EA769C44181DFA482F020C296</vt:lpstr>
  </property>
  <property fmtid="{D5CDD505-2E9C-101B-9397-08002B2CF9AE}" name="ComplianceAssetId" pid="3">
    <vt:lpstr/>
  </property>
  <property fmtid="{D5CDD505-2E9C-101B-9397-08002B2CF9AE}" name="_ExtendedDescription" pid="4">
    <vt:lpstr/>
  </property>
  <property fmtid="{D5CDD505-2E9C-101B-9397-08002B2CF9AE}" name="TriggerFlowInfo" pid="5">
    <vt:lpstr/>
  </property>
  <property fmtid="{D5CDD505-2E9C-101B-9397-08002B2CF9AE}" name="MediaServiceImageTags" pid="6">
    <vt:lpstr/>
  </property>
</Properties>
</file>